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D480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MX" w:eastAsia="es-MX"/>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MX" w:eastAsia="es-MX"/>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D480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D4805">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283C063" w:rsidR="00E978D0" w:rsidRPr="00B57B36" w:rsidRDefault="008D4805" w:rsidP="00E978D0">
      <w:pPr>
        <w:pStyle w:val="CETTitle"/>
      </w:pPr>
      <w:r w:rsidRPr="008D4805">
        <w:t>Algal biomass as a source of bioactive compounds for biotechnological applications</w:t>
      </w:r>
    </w:p>
    <w:p w14:paraId="0488FED2" w14:textId="06A22D47" w:rsidR="00B57E6F" w:rsidRPr="00B57B36" w:rsidRDefault="008D4805" w:rsidP="00B57E6F">
      <w:pPr>
        <w:pStyle w:val="CETAuthors"/>
      </w:pPr>
      <w:r>
        <w:t>J. D. A. Loa</w:t>
      </w:r>
      <w:r w:rsidR="00B57E6F" w:rsidRPr="00B57B36">
        <w:rPr>
          <w:vertAlign w:val="superscript"/>
        </w:rPr>
        <w:t>a</w:t>
      </w:r>
      <w:r w:rsidR="00B57E6F" w:rsidRPr="00B57B36">
        <w:t xml:space="preserve">, </w:t>
      </w:r>
      <w:r>
        <w:t>N. Said-Muñoz</w:t>
      </w:r>
      <w:r w:rsidR="00B57E6F" w:rsidRPr="00B57B36">
        <w:rPr>
          <w:vertAlign w:val="superscript"/>
        </w:rPr>
        <w:t>b</w:t>
      </w:r>
      <w:r>
        <w:t>, N. G. Rojas-Avelizapa</w:t>
      </w:r>
      <w:r w:rsidRPr="008D4805">
        <w:rPr>
          <w:vertAlign w:val="superscript"/>
        </w:rPr>
        <w:t>a,</w:t>
      </w:r>
      <w:r w:rsidR="00B57E6F" w:rsidRPr="00B57B36">
        <w:t>*</w:t>
      </w:r>
    </w:p>
    <w:p w14:paraId="6B2D21B3" w14:textId="6129180A" w:rsidR="00B57E6F" w:rsidRPr="00247D58" w:rsidRDefault="00B57E6F" w:rsidP="00247D58">
      <w:pPr>
        <w:pStyle w:val="CETAddress"/>
        <w:jc w:val="both"/>
        <w:rPr>
          <w:lang w:val="es-419"/>
        </w:rPr>
      </w:pPr>
      <w:r w:rsidRPr="00247D58">
        <w:rPr>
          <w:vertAlign w:val="superscript"/>
          <w:lang w:val="es-419"/>
        </w:rPr>
        <w:t>a</w:t>
      </w:r>
      <w:r w:rsidR="00247D58" w:rsidRPr="00247D58">
        <w:rPr>
          <w:lang w:val="es-419"/>
        </w:rPr>
        <w:t>Department of Biotechnology, Centro de Investigación en Ciencia Aplicada y Tecnología Avanzada, Unidad Querétaro, Instituto Politécnico Nacional, Querétaro, Qro. CP. 76090, México</w:t>
      </w:r>
      <w:r w:rsidR="00247D58">
        <w:rPr>
          <w:lang w:val="es-419"/>
        </w:rPr>
        <w:t>.</w:t>
      </w:r>
    </w:p>
    <w:p w14:paraId="3D72B0B0" w14:textId="4BED141A" w:rsidR="00B57E6F" w:rsidRPr="00247D58" w:rsidRDefault="00B57E6F" w:rsidP="00247D58">
      <w:pPr>
        <w:pStyle w:val="CETAddress"/>
        <w:jc w:val="both"/>
        <w:rPr>
          <w:lang w:val="es-419"/>
        </w:rPr>
      </w:pPr>
      <w:r w:rsidRPr="00247D58">
        <w:rPr>
          <w:vertAlign w:val="superscript"/>
          <w:lang w:val="es-419"/>
        </w:rPr>
        <w:t>b</w:t>
      </w:r>
      <w:r w:rsidR="00247D58" w:rsidRPr="00247D58">
        <w:rPr>
          <w:lang w:val="es-419"/>
        </w:rPr>
        <w:t>Instituto Tecnológico y de Estudios Superiores de Monterrey, Campus Querétaro, Querétaro, Qro. CP. 76130, México.</w:t>
      </w:r>
    </w:p>
    <w:p w14:paraId="73F1267A" w14:textId="3B8EA463" w:rsidR="00B57E6F" w:rsidRPr="00247D58" w:rsidRDefault="00247D58" w:rsidP="00247D58">
      <w:pPr>
        <w:pStyle w:val="CETemail"/>
        <w:jc w:val="both"/>
        <w:rPr>
          <w:lang w:val="en-US"/>
        </w:rPr>
      </w:pPr>
      <w:r w:rsidRPr="00247D58">
        <w:rPr>
          <w:lang w:val="en-US"/>
        </w:rPr>
        <w:t>*C</w:t>
      </w:r>
      <w:r w:rsidR="00B57E6F" w:rsidRPr="00247D58">
        <w:rPr>
          <w:lang w:val="en-US"/>
        </w:rPr>
        <w:t>orresponding</w:t>
      </w:r>
      <w:r w:rsidRPr="00247D58">
        <w:rPr>
          <w:lang w:val="en-US"/>
        </w:rPr>
        <w:t xml:space="preserve"> </w:t>
      </w:r>
      <w:r w:rsidR="00B57E6F" w:rsidRPr="00247D58">
        <w:rPr>
          <w:lang w:val="en-US"/>
        </w:rPr>
        <w:t>author</w:t>
      </w:r>
      <w:r w:rsidRPr="00247D58">
        <w:rPr>
          <w:lang w:val="en-US"/>
        </w:rPr>
        <w:t xml:space="preserve"> Email: </w:t>
      </w:r>
      <w:hyperlink r:id="rId10" w:history="1">
        <w:r w:rsidRPr="00877CF2">
          <w:rPr>
            <w:rStyle w:val="Hipervnculo"/>
            <w:lang w:val="en-US"/>
          </w:rPr>
          <w:t>nrojasa@ipn.mx</w:t>
        </w:r>
      </w:hyperlink>
      <w:r>
        <w:rPr>
          <w:lang w:val="en-US"/>
        </w:rPr>
        <w:t xml:space="preserve"> </w:t>
      </w:r>
    </w:p>
    <w:p w14:paraId="37A61FCE" w14:textId="58CCC13B" w:rsidR="00DA24C6" w:rsidRPr="002E3F4F" w:rsidRDefault="0015088C" w:rsidP="002E3F4F">
      <w:pPr>
        <w:pStyle w:val="CETBodytext"/>
        <w:rPr>
          <w:lang w:val="en-GB"/>
        </w:rPr>
      </w:pPr>
      <w:r w:rsidRPr="0015088C">
        <w:rPr>
          <w:lang w:val="en-GB"/>
        </w:rPr>
        <w:t xml:space="preserve">Algae are a source of biomass for obtaining bioactive compounds such as antioxidants and </w:t>
      </w:r>
      <w:proofErr w:type="spellStart"/>
      <w:r w:rsidRPr="0015088C">
        <w:rPr>
          <w:lang w:val="en-GB"/>
        </w:rPr>
        <w:t>sulfated</w:t>
      </w:r>
      <w:proofErr w:type="spellEnd"/>
      <w:r w:rsidRPr="0015088C">
        <w:rPr>
          <w:lang w:val="en-GB"/>
        </w:rPr>
        <w:t xml:space="preserve"> polysaccharides, which have </w:t>
      </w:r>
      <w:r w:rsidR="00964A0B">
        <w:rPr>
          <w:lang w:val="en-GB"/>
        </w:rPr>
        <w:t>beneficial</w:t>
      </w:r>
      <w:r w:rsidRPr="0015088C">
        <w:rPr>
          <w:lang w:val="en-GB"/>
        </w:rPr>
        <w:t xml:space="preserve"> properties for </w:t>
      </w:r>
      <w:r w:rsidR="00964A0B">
        <w:rPr>
          <w:lang w:val="en-GB"/>
        </w:rPr>
        <w:t>different</w:t>
      </w:r>
      <w:r w:rsidRPr="0015088C">
        <w:rPr>
          <w:lang w:val="en-GB"/>
        </w:rPr>
        <w:t xml:space="preserve"> biotechnological applications</w:t>
      </w:r>
      <w:r w:rsidR="00953075">
        <w:rPr>
          <w:lang w:val="en-GB"/>
        </w:rPr>
        <w:t xml:space="preserve">, such as </w:t>
      </w:r>
      <w:r w:rsidR="002E4A65">
        <w:rPr>
          <w:lang w:val="en-GB"/>
        </w:rPr>
        <w:t>nanomaterials synthesis</w:t>
      </w:r>
      <w:r w:rsidRPr="007B3277">
        <w:rPr>
          <w:lang w:val="en-GB"/>
        </w:rPr>
        <w:t xml:space="preserve">. </w:t>
      </w:r>
      <w:r w:rsidR="004B1E5A">
        <w:rPr>
          <w:lang w:val="en-GB"/>
        </w:rPr>
        <w:t xml:space="preserve">By means of </w:t>
      </w:r>
      <w:r w:rsidR="004B1E5A" w:rsidRPr="007168CB">
        <w:rPr>
          <w:lang w:val="en-GB"/>
        </w:rPr>
        <w:t xml:space="preserve">a </w:t>
      </w:r>
      <w:proofErr w:type="gramStart"/>
      <w:r w:rsidR="004B1E5A" w:rsidRPr="007168CB">
        <w:rPr>
          <w:lang w:val="en-GB"/>
        </w:rPr>
        <w:t>2</w:t>
      </w:r>
      <w:r w:rsidR="004B1E5A" w:rsidRPr="007168CB">
        <w:rPr>
          <w:vertAlign w:val="superscript"/>
          <w:lang w:val="en-GB"/>
        </w:rPr>
        <w:t>3</w:t>
      </w:r>
      <w:r w:rsidR="004B1E5A" w:rsidRPr="007168CB">
        <w:rPr>
          <w:lang w:val="en-GB"/>
        </w:rPr>
        <w:t xml:space="preserve"> factorial</w:t>
      </w:r>
      <w:proofErr w:type="gramEnd"/>
      <w:r w:rsidR="004B1E5A" w:rsidRPr="007168CB">
        <w:rPr>
          <w:lang w:val="en-GB"/>
        </w:rPr>
        <w:t xml:space="preserve"> design, t</w:t>
      </w:r>
      <w:r w:rsidRPr="007168CB">
        <w:rPr>
          <w:lang w:val="en-GB"/>
        </w:rPr>
        <w:t xml:space="preserve">he present study </w:t>
      </w:r>
      <w:r w:rsidR="00D90D06" w:rsidRPr="007168CB">
        <w:rPr>
          <w:lang w:val="en-GB"/>
        </w:rPr>
        <w:t xml:space="preserve">determined the pH, temperature and </w:t>
      </w:r>
      <w:r w:rsidR="00F82C14" w:rsidRPr="007168CB">
        <w:rPr>
          <w:lang w:val="en-GB"/>
        </w:rPr>
        <w:t>concentration</w:t>
      </w:r>
      <w:r w:rsidR="004B1E5A" w:rsidRPr="007168CB">
        <w:rPr>
          <w:lang w:val="en-GB"/>
        </w:rPr>
        <w:t xml:space="preserve"> </w:t>
      </w:r>
      <w:r w:rsidR="003A312B" w:rsidRPr="007168CB">
        <w:rPr>
          <w:lang w:val="en-GB"/>
        </w:rPr>
        <w:t xml:space="preserve">of the </w:t>
      </w:r>
      <w:r w:rsidR="007F095A" w:rsidRPr="007168CB">
        <w:rPr>
          <w:lang w:val="en-GB"/>
        </w:rPr>
        <w:t>biomass</w:t>
      </w:r>
      <w:r w:rsidR="003A312B" w:rsidRPr="007168CB">
        <w:rPr>
          <w:lang w:val="en-GB"/>
        </w:rPr>
        <w:t xml:space="preserve"> (</w:t>
      </w:r>
      <w:r w:rsidR="007F095A" w:rsidRPr="007168CB">
        <w:rPr>
          <w:lang w:val="en-GB"/>
        </w:rPr>
        <w:t>%</w:t>
      </w:r>
      <w:r w:rsidR="003A312B" w:rsidRPr="007168CB">
        <w:rPr>
          <w:lang w:val="en-GB"/>
        </w:rPr>
        <w:t xml:space="preserve">) </w:t>
      </w:r>
      <w:r w:rsidR="00D90D06" w:rsidRPr="007168CB">
        <w:rPr>
          <w:lang w:val="en-GB"/>
        </w:rPr>
        <w:t xml:space="preserve">conditions </w:t>
      </w:r>
      <w:r w:rsidR="00F82C14" w:rsidRPr="007168CB">
        <w:rPr>
          <w:lang w:val="en-GB"/>
        </w:rPr>
        <w:t xml:space="preserve">for </w:t>
      </w:r>
      <w:r w:rsidR="002F1F16" w:rsidRPr="007168CB">
        <w:rPr>
          <w:lang w:val="en-GB"/>
        </w:rPr>
        <w:t xml:space="preserve">obtaining </w:t>
      </w:r>
      <w:r w:rsidR="00F82C14" w:rsidRPr="007168CB">
        <w:rPr>
          <w:i/>
          <w:lang w:val="en-GB"/>
        </w:rPr>
        <w:t>Sargassum</w:t>
      </w:r>
      <w:r w:rsidR="002F1F16" w:rsidRPr="007168CB">
        <w:rPr>
          <w:i/>
          <w:lang w:val="en-GB"/>
        </w:rPr>
        <w:t xml:space="preserve"> sp.</w:t>
      </w:r>
      <w:r w:rsidR="00F82C14" w:rsidRPr="007168CB">
        <w:rPr>
          <w:lang w:val="en-GB"/>
        </w:rPr>
        <w:t xml:space="preserve"> extracts for further application in the synthesis of nanomaterials</w:t>
      </w:r>
      <w:r w:rsidR="004B1E5A" w:rsidRPr="007168CB">
        <w:rPr>
          <w:lang w:val="en-GB"/>
        </w:rPr>
        <w:t xml:space="preserve">; the response variables were </w:t>
      </w:r>
      <w:r w:rsidRPr="007168CB">
        <w:rPr>
          <w:lang w:val="en-GB"/>
        </w:rPr>
        <w:t>the antioxidant capacity, concentration of carbohydrates</w:t>
      </w:r>
      <w:r w:rsidR="00BE5413" w:rsidRPr="007168CB">
        <w:rPr>
          <w:lang w:val="en-GB"/>
        </w:rPr>
        <w:t>,</w:t>
      </w:r>
      <w:r w:rsidRPr="007168CB">
        <w:rPr>
          <w:lang w:val="en-GB"/>
        </w:rPr>
        <w:t xml:space="preserve"> organic and inorganic </w:t>
      </w:r>
      <w:proofErr w:type="spellStart"/>
      <w:r w:rsidRPr="007168CB">
        <w:rPr>
          <w:lang w:val="en-GB"/>
        </w:rPr>
        <w:t>sulfates</w:t>
      </w:r>
      <w:proofErr w:type="spellEnd"/>
      <w:r w:rsidR="004B1E5A" w:rsidRPr="007168CB">
        <w:rPr>
          <w:lang w:val="en-GB"/>
        </w:rPr>
        <w:t xml:space="preserve">. </w:t>
      </w:r>
      <w:r w:rsidRPr="007168CB">
        <w:rPr>
          <w:lang w:val="en-GB"/>
        </w:rPr>
        <w:t>The</w:t>
      </w:r>
      <w:r w:rsidRPr="0015088C">
        <w:rPr>
          <w:lang w:val="en-GB"/>
        </w:rPr>
        <w:t xml:space="preserve"> </w:t>
      </w:r>
      <w:r w:rsidRPr="006B08A0">
        <w:rPr>
          <w:lang w:val="en-GB"/>
        </w:rPr>
        <w:t xml:space="preserve">results of the experimental design showed that the </w:t>
      </w:r>
      <w:r w:rsidR="00E7735B" w:rsidRPr="006B08A0">
        <w:rPr>
          <w:lang w:val="en-GB"/>
        </w:rPr>
        <w:t>biomass</w:t>
      </w:r>
      <w:r w:rsidR="00D837E9" w:rsidRPr="006B08A0">
        <w:rPr>
          <w:lang w:val="en-GB"/>
        </w:rPr>
        <w:t xml:space="preserve"> concentration </w:t>
      </w:r>
      <w:r w:rsidRPr="006B08A0">
        <w:rPr>
          <w:lang w:val="en-GB"/>
        </w:rPr>
        <w:t xml:space="preserve">factor </w:t>
      </w:r>
      <w:r w:rsidR="00D837E9" w:rsidRPr="006B08A0">
        <w:rPr>
          <w:lang w:val="en-GB"/>
        </w:rPr>
        <w:t>was the</w:t>
      </w:r>
      <w:r w:rsidRPr="006B08A0">
        <w:rPr>
          <w:lang w:val="en-GB"/>
        </w:rPr>
        <w:t xml:space="preserve"> most </w:t>
      </w:r>
      <w:r w:rsidR="00D837E9" w:rsidRPr="006B08A0">
        <w:rPr>
          <w:lang w:val="en-GB"/>
        </w:rPr>
        <w:t xml:space="preserve">important </w:t>
      </w:r>
      <w:r w:rsidR="005126E3" w:rsidRPr="006B08A0">
        <w:rPr>
          <w:lang w:val="en-GB"/>
        </w:rPr>
        <w:t>to</w:t>
      </w:r>
      <w:r w:rsidR="000700AA" w:rsidRPr="006B08A0">
        <w:rPr>
          <w:lang w:val="en-GB"/>
        </w:rPr>
        <w:t xml:space="preserve"> explain</w:t>
      </w:r>
      <w:r w:rsidR="000700AA">
        <w:rPr>
          <w:lang w:val="en-GB"/>
        </w:rPr>
        <w:t xml:space="preserve"> the</w:t>
      </w:r>
      <w:r w:rsidRPr="0015088C">
        <w:rPr>
          <w:lang w:val="en-GB"/>
        </w:rPr>
        <w:t xml:space="preserve"> response variables except for the </w:t>
      </w:r>
      <w:r w:rsidR="00D24CF0">
        <w:rPr>
          <w:lang w:val="en-GB"/>
        </w:rPr>
        <w:t xml:space="preserve">antioxidant capacity </w:t>
      </w:r>
      <w:r w:rsidRPr="0015088C">
        <w:rPr>
          <w:lang w:val="en-GB"/>
        </w:rPr>
        <w:t>response, where the factor that explains</w:t>
      </w:r>
      <w:r w:rsidR="00D66695">
        <w:rPr>
          <w:lang w:val="en-GB"/>
        </w:rPr>
        <w:t xml:space="preserve"> the highest </w:t>
      </w:r>
      <w:r w:rsidR="00B86ADE">
        <w:rPr>
          <w:lang w:val="en-GB"/>
        </w:rPr>
        <w:t>percentage</w:t>
      </w:r>
      <w:r w:rsidR="00D66695">
        <w:rPr>
          <w:lang w:val="en-GB"/>
        </w:rPr>
        <w:t xml:space="preserve"> of the response</w:t>
      </w:r>
      <w:r w:rsidR="00B86ADE">
        <w:rPr>
          <w:lang w:val="en-GB"/>
        </w:rPr>
        <w:t xml:space="preserve"> was the</w:t>
      </w:r>
      <w:r w:rsidRPr="0015088C">
        <w:rPr>
          <w:lang w:val="en-GB"/>
        </w:rPr>
        <w:t xml:space="preserve"> temperature. The condition that allowed obtaining the maximum concentration of antioxidant power </w:t>
      </w:r>
      <w:r w:rsidR="009E3E16">
        <w:rPr>
          <w:lang w:val="en-GB"/>
        </w:rPr>
        <w:t>and</w:t>
      </w:r>
      <w:r w:rsidRPr="0015088C">
        <w:rPr>
          <w:lang w:val="en-GB"/>
        </w:rPr>
        <w:t xml:space="preserve"> esterified </w:t>
      </w:r>
      <w:proofErr w:type="spellStart"/>
      <w:r w:rsidRPr="0015088C">
        <w:rPr>
          <w:lang w:val="en-GB"/>
        </w:rPr>
        <w:t>sulfates</w:t>
      </w:r>
      <w:proofErr w:type="spellEnd"/>
      <w:r w:rsidRPr="0015088C">
        <w:rPr>
          <w:lang w:val="en-GB"/>
        </w:rPr>
        <w:t xml:space="preserve"> was found to be using 90°C, pH of 4.5 and 11% of the </w:t>
      </w:r>
      <w:r w:rsidR="007F095A">
        <w:rPr>
          <w:lang w:val="en-GB"/>
        </w:rPr>
        <w:t>biomass</w:t>
      </w:r>
      <w:r w:rsidR="001C6053">
        <w:rPr>
          <w:lang w:val="en-GB"/>
        </w:rPr>
        <w:t xml:space="preserve"> </w:t>
      </w:r>
      <w:r w:rsidRPr="0015088C">
        <w:rPr>
          <w:lang w:val="en-GB"/>
        </w:rPr>
        <w:t>concentration, r</w:t>
      </w:r>
      <w:r w:rsidR="00F9007A">
        <w:rPr>
          <w:lang w:val="en-GB"/>
        </w:rPr>
        <w:t>esulting in</w:t>
      </w:r>
      <w:r w:rsidRPr="0015088C">
        <w:rPr>
          <w:lang w:val="en-GB"/>
        </w:rPr>
        <w:t xml:space="preserve"> a concentration of</w:t>
      </w:r>
      <w:r w:rsidR="009227F2">
        <w:rPr>
          <w:lang w:val="en-GB"/>
        </w:rPr>
        <w:t xml:space="preserve"> </w:t>
      </w:r>
      <w:r w:rsidR="009227F2" w:rsidRPr="000868B3">
        <w:t>6.1 ± 0.2 mM/L of FRAP and 0.4 ± 0.09 mg/mL</w:t>
      </w:r>
      <w:r w:rsidR="009227F2">
        <w:t xml:space="preserve"> organic sulfates.</w:t>
      </w:r>
    </w:p>
    <w:p w14:paraId="476B2F2E" w14:textId="77777777" w:rsidR="00600535" w:rsidRPr="00B57B36" w:rsidRDefault="00600535" w:rsidP="00600535">
      <w:pPr>
        <w:pStyle w:val="CETHeading1"/>
        <w:rPr>
          <w:lang w:val="en-GB"/>
        </w:rPr>
      </w:pPr>
      <w:r w:rsidRPr="00B57B36">
        <w:rPr>
          <w:lang w:val="en-GB"/>
        </w:rPr>
        <w:t>Introduction</w:t>
      </w:r>
    </w:p>
    <w:p w14:paraId="3A881266" w14:textId="56274C7E" w:rsidR="004B56EA" w:rsidRPr="006B08A0" w:rsidRDefault="004B56EA" w:rsidP="00600535">
      <w:pPr>
        <w:pStyle w:val="CETBodytext"/>
      </w:pPr>
      <w:r w:rsidRPr="004B56EA">
        <w:t xml:space="preserve">Seaweeds </w:t>
      </w:r>
      <w:r w:rsidRPr="006B08A0">
        <w:t>emerged as an alternative sustainable source of biomass with potential for application in several areas of biotechnology</w:t>
      </w:r>
      <w:r w:rsidR="00D77F2D" w:rsidRPr="006B08A0">
        <w:t xml:space="preserve"> </w:t>
      </w:r>
      <w:r w:rsidR="00D77F2D" w:rsidRPr="006B08A0">
        <w:fldChar w:fldCharType="begin" w:fldLock="1"/>
      </w:r>
      <w:r w:rsidR="00EE137C" w:rsidRPr="006B08A0">
        <w:instrText>ADDIN CSL_CITATION {"citationItems":[{"id":"ITEM-1","itemData":{"DOI":"http://dx.doi.org/10.7773/cm.v42i4.2677","abstract":"Natural extracts of macroalgae are widely recognized for their antioxidant properties. In this work, the antioxidant capacity of various aqueous and hydroalcoholic extracts obtained from red and green marine algae and from one marine lichen collected from different sites in southern Spain (intertidal and estuarine waters) was evaluated by different methods: ABTS free radical scavenging assay, DPPH assay, and β-carotene bleaching method (BBM). Contents of total lipids, total carbohydrates, and UV photoprotectors with antioxidant capacity, such as mycosporine-like amino acids and phenolic compounds, were determined. Among the extraction solvents, the highest extraction yield was observed in H2O and 20% MeOH (v/v). The highest antioxidant activity was found in the extracts of the red macroalgae Hydropuntia cornea, Gracilariopsis longissima, Halopithys incurva, and Porphyra umbilicalis, whereas the lowest activity was detected in the green macroalga Ulva rotundata. In general, the antioxidant activity was higher using DPPH than BBM and ABTS. Even so, the ABTS assay is an easy and quick test that provides a comprehensive view of the entire extract in both the lipophilic medium and hydrophilic medium. The antioxidant activity was related to the composition of bioactive compounds and synergistic action is not discarded. The biotechnological use of macroalgal extracts","author":[{"dropping-particle":"","family":"Álvarez-Gómez","given":"Félix","non-dropping-particle":"","parse-names":false,"suffix":""},{"dropping-particle":"","family":"Korbee","given":"Nathalie","non-dropping-particle":"","parse-names":false,"suffix":""},{"dropping-particle":"","family":"Figueroa","given":"Félix L","non-dropping-particle":"","parse-names":false,"suffix":""}],"container-title":"Ciencias Marinas","id":"ITEM-1","issue":"4","issued":{"date-parts":[["2016"]]},"page":"271-288","title":"Analysis of antioxidant capacity and bioactive compounds in marine macroalgal and lichenic extracts using different solvents and evaluation methods","type":"article-journal","volume":"42"},"uris":["http://www.mendeley.com/documents/?uuid=a1ad3497-7308-4ebb-96d1-2e6cf0205d5e"]}],"mendeley":{"formattedCitation":"(Álvarez-Gómez et al., 2016)","plainTextFormattedCitation":"(Álvarez-Gómez et al., 2016)","previouslyFormattedCitation":"(Álvarez-Gómez et al., 2016)"},"properties":{"noteIndex":0},"schema":"https://github.com/citation-style-language/schema/raw/master/csl-citation.json"}</w:instrText>
      </w:r>
      <w:r w:rsidR="00D77F2D" w:rsidRPr="006B08A0">
        <w:fldChar w:fldCharType="separate"/>
      </w:r>
      <w:r w:rsidR="00EE137C" w:rsidRPr="006B08A0">
        <w:rPr>
          <w:noProof/>
        </w:rPr>
        <w:t>(Álvarez-Gómez et al., 2016)</w:t>
      </w:r>
      <w:r w:rsidR="00D77F2D" w:rsidRPr="006B08A0">
        <w:fldChar w:fldCharType="end"/>
      </w:r>
      <w:r w:rsidRPr="006B08A0">
        <w:t>. This is due to their quick growth even in the absence of chemical additives, high biomass productivity, potential to be harvested several times per year</w:t>
      </w:r>
      <w:r w:rsidR="00772852" w:rsidRPr="006B08A0">
        <w:t xml:space="preserve"> </w:t>
      </w:r>
      <w:r w:rsidR="00772852" w:rsidRPr="006B08A0">
        <w:fldChar w:fldCharType="begin" w:fldLock="1"/>
      </w:r>
      <w:r w:rsidR="00EE137C" w:rsidRPr="006B08A0">
        <w:instrText>ADDIN CSL_CITATION {"citationItems":[{"id":"ITEM-1","itemData":{"DOI":"10.3390/catal12070756","ISSN":"20734344","abstract":"The aqueous extract of marine green macroalgae, Ulva fasciata Delile, was harnessed for the synthesis of zinc oxide nanoparticles (ZnO-NPs). The conversion to ZnO-NPs was characterized by color change, UV–vis spectroscopy, FT-IR, TEM, SEM-EDX, and XRD. Data showed the formation of spherical and crystalline ZnO-NPs with a size range of 3–33 nm. SEM-EDX revealed the presence of Zn and O in weight percentages of 45.3 and 31.62%, respectively. The phyco-synthesized ZnO-NPs exhibited an effective antibacterial activity against the pathogenic Gram-positive and Gram-negative bacteria. The bacterial clear zones ranged from 21.7 ± 0.6 to 14.7 ± 0.6 mm with MIC values of 50–6.25 µg mL−1. The catalytic activity of our product was investigated in dark and visible light conditions, using the methylene blue (MB) dye. The maximum dye removal (84.9 ± 1.2%) was achieved after 140 min in the presence of 1.0 mg mL−1 of our nanocatalyst under the visible light at a pH of 7 and a temperature of 35 °C. This percentage was decreased to 53.4 ± 0.7% under the dark conditions. This nanocatalyst showed a high reusability with a decreasing percentage of ~5.2% after six successive cycles. Under the optimum conditions, ZnO-NPs showed a high efficacy in decolorizing the tanning wastewater with a percentage of 96.1 ± 1.7%. Moreover, the parameters of the COD, BOD, TSS, and conductivity were decreased with percentages of 88.8, 88.5, 96.9, and 91.5%, respectively. Moreover, nano-ZnO had a high efficacy in decreasing the content of the tanning wastewater Cr (VI) from 864.3 ± 5.8 to 57.3 ± 4.1 mg L−1 with a removal percentage of 93.4%.","author":[{"dropping-particle":"","family":"Fouda","given":"Amr","non-dropping-particle":"","parse-names":false,"suffix":""},{"dropping-particle":"","family":"Eid","given":"Ahmed M.","non-dropping-particle":"","parse-names":false,"suffix":""},{"dropping-particle":"","family":"Abdelkareem","given":"Ayman","non-dropping-particle":"","parse-names":false,"suffix":""},{"dropping-particle":"","family":"Said","given":"Hanan A.","non-dropping-particle":"","parse-names":false,"suffix":""},{"dropping-particle":"","family":"El-Belely","given":"Ehab F.","non-dropping-particle":"","parse-names":false,"suffix":""},{"dropping-particle":"","family":"Alkhalifah","given":"Dalal Hussien M.","non-dropping-particle":"","parse-names":false,"suffix":""},{"dropping-particle":"","family":"Alshallash","given":"Khalid S.","non-dropping-particle":"","parse-names":false,"suffix":""},{"dropping-particle":"","family":"Hassan","given":"Saad El Din","non-dropping-particle":"","parse-names":false,"suffix":""}],"container-title":"Catalysts","id":"ITEM-1","issue":"7","issued":{"date-parts":[["2022"]]},"title":"Phyco-Synthesized Zinc Oxide Nanoparticles Using Marine Macroalgae, Ulva fasciata Delile, Characterization, Antibacterial Activity, Photocatalysis, and Tanning Wastewater Treatment","type":"article-journal","volume":"12"},"uris":["http://www.mendeley.com/documents/?uuid=e33f8853-c799-494e-8483-cb85e1e7d869"]}],"mendeley":{"formattedCitation":"(Fouda et al., 2022)","plainTextFormattedCitation":"(Fouda et al., 2022)","previouslyFormattedCitation":"(Fouda et al., 2022)"},"properties":{"noteIndex":0},"schema":"https://github.com/citation-style-language/schema/raw/master/csl-citation.json"}</w:instrText>
      </w:r>
      <w:r w:rsidR="00772852" w:rsidRPr="006B08A0">
        <w:fldChar w:fldCharType="separate"/>
      </w:r>
      <w:r w:rsidR="00EE137C" w:rsidRPr="006B08A0">
        <w:rPr>
          <w:noProof/>
        </w:rPr>
        <w:t>(Fouda et al., 2022)</w:t>
      </w:r>
      <w:r w:rsidR="00772852" w:rsidRPr="006B08A0">
        <w:fldChar w:fldCharType="end"/>
      </w:r>
      <w:r w:rsidRPr="006B08A0">
        <w:t>, as well as their ability to produce diverse natural bioactive compounds as antimicrobial and antioxidant agents, such as pigments, polyphenols, flavonoids, lipids and carbohydrates of pharmaceutical, nutraceutical, cosmetic and nanobiotechnological interest</w:t>
      </w:r>
      <w:r w:rsidR="00AE12AC" w:rsidRPr="006B08A0">
        <w:t xml:space="preserve"> </w:t>
      </w:r>
      <w:r w:rsidR="00AE12AC" w:rsidRPr="006B08A0">
        <w:fldChar w:fldCharType="begin" w:fldLock="1"/>
      </w:r>
      <w:r w:rsidR="00EE137C" w:rsidRPr="006B08A0">
        <w:instrText>ADDIN CSL_CITATION {"citationItems":[{"id":"ITEM-1","itemData":{"DOI":"10.1007/s10811-021-02446-8","ISSN":"15735176","abstract":"Beach-cast marine algae are a potential biomass for several biofunctional products and occur in large volumes in some coastal regions due to natural current processes or drifting algae like pelagic Sargassum. Antioxidant activity and chemical composition of methanolic and aqueous extracts from fifteen beach-cast marine algae from the Brazilian Coast were evaluated. In general, the highest antioxidant activities were found in extracts from brown macroalgae followed by the extracts of red algae, and the lowest activities were detected in the green beach-cast algae. The concentrations of phenolic compounds and carbohydrates exhibited a positive correlation with the antioxidant activities of the tested extracts. To the best of our knowledge, this is one of the few worldwide studies concerning beach-cast seaweeds and antioxidant activity and related antioxidant metabolites. This study suggests that these algae are potential sources for obtaining extracts with antioxidant properties, rich in phenolic compounds and sulfated carbohydrates. Beach-cast macroalgae are unused biomass and the beneficial utilization of this biomass for prospection of natural products and functional foods is suggested.","author":[{"dropping-particle":"","family":"Harb","given":"Talissa Barroco","non-dropping-particle":"","parse-names":false,"suffix":""},{"dropping-particle":"","family":"Pereira","given":"Mariana S.","non-dropping-particle":"","parse-names":false,"suffix":""},{"dropping-particle":"","family":"Cavalcanti","given":"Maria Irisvalda L.G.","non-dropping-particle":"","parse-names":false,"suffix":""},{"dropping-particle":"","family":"Fujii","given":"Mutue T.","non-dropping-particle":"","parse-names":false,"suffix":""},{"dropping-particle":"","family":"Chow","given":"Fungyi","non-dropping-particle":"","parse-names":false,"suffix":""}],"container-title":"Journal of Applied Phycology","id":"ITEM-1","issue":"5","issued":{"date-parts":[["2021"]]},"page":"3383-3395","publisher":"Journal of Applied Phycology","title":"Antioxidant activity and related chemical composition of extracts from Brazilian beach-cast marine algae: opportunities of turning a waste into a resource","type":"article-journal","volume":"33"},"uris":["http://www.mendeley.com/documents/?uuid=e93faa43-8aac-4da5-9e6b-4db2abc51416"]}],"mendeley":{"formattedCitation":"(Harb et al., 2021)","plainTextFormattedCitation":"(Harb et al., 2021)","previouslyFormattedCitation":"(Harb et al., 2021)"},"properties":{"noteIndex":0},"schema":"https://github.com/citation-style-language/schema/raw/master/csl-citation.json"}</w:instrText>
      </w:r>
      <w:r w:rsidR="00AE12AC" w:rsidRPr="006B08A0">
        <w:fldChar w:fldCharType="separate"/>
      </w:r>
      <w:r w:rsidR="00EE137C" w:rsidRPr="006B08A0">
        <w:rPr>
          <w:noProof/>
        </w:rPr>
        <w:t>(Harb et al., 2021)</w:t>
      </w:r>
      <w:r w:rsidR="00AE12AC" w:rsidRPr="006B08A0">
        <w:fldChar w:fldCharType="end"/>
      </w:r>
      <w:r w:rsidR="00ED5F0E" w:rsidRPr="006B08A0">
        <w:t>.</w:t>
      </w:r>
    </w:p>
    <w:p w14:paraId="757D951D" w14:textId="6DCE6A73" w:rsidR="004A2399" w:rsidRPr="006B08A0" w:rsidRDefault="004A2399" w:rsidP="00600535">
      <w:pPr>
        <w:pStyle w:val="CETBodytext"/>
      </w:pPr>
    </w:p>
    <w:p w14:paraId="2EFEA9A9" w14:textId="5E1B90E2" w:rsidR="00F4609D" w:rsidRPr="006B08A0" w:rsidRDefault="004B56EA" w:rsidP="00600535">
      <w:pPr>
        <w:pStyle w:val="CETBodytext"/>
      </w:pPr>
      <w:r w:rsidRPr="006B08A0">
        <w:t>Aquatic seaweeds such as sargassum, besides being a rich source of antioxidants, is also an environmental problem, as they alter the photosynthetic processes of different plants and seaweeds species because they block the sunlight</w:t>
      </w:r>
      <w:r w:rsidR="005126E3" w:rsidRPr="006B08A0">
        <w:t>. In addition</w:t>
      </w:r>
      <w:r w:rsidR="00334191" w:rsidRPr="006B08A0">
        <w:t>,</w:t>
      </w:r>
      <w:r w:rsidR="005126E3" w:rsidRPr="006B08A0">
        <w:t xml:space="preserve"> sargassum</w:t>
      </w:r>
      <w:r w:rsidRPr="006B08A0">
        <w:t xml:space="preserve"> </w:t>
      </w:r>
      <w:r w:rsidR="005126E3" w:rsidRPr="006B08A0">
        <w:t xml:space="preserve">has </w:t>
      </w:r>
      <w:r w:rsidRPr="006B08A0">
        <w:t>caused economic losses in the tourism sector in the coastal areas of the Mexican Caribbean since 2016, as they accumulate in large quantities on the beaches, and cause soil contamination due to organic decomposition processes</w:t>
      </w:r>
      <w:r w:rsidR="00ED5F0E" w:rsidRPr="006B08A0">
        <w:t xml:space="preserve"> </w:t>
      </w:r>
      <w:r w:rsidR="00ED5F0E" w:rsidRPr="006B08A0">
        <w:fldChar w:fldCharType="begin" w:fldLock="1"/>
      </w:r>
      <w:r w:rsidR="00EE137C" w:rsidRPr="006B08A0">
        <w:instrText>ADDIN CSL_CITATION {"citationItems":[{"id":"ITEM-1","itemData":{"DOI":"10.3390/ijms24021474","ISSN":"14220067","PMID":"36674991","abstract":"The present work shows the synthesis of ZnO nanoparticles through a green method, using sargassum extracts, which provide the reducing and stabilizing compounds. The conditions of the medium in which the reaction was carried out was evaluated, that is, magnetic stirring, ultrasound assisted, and resting condition. UV-Vis, FTIR spectroscopy, and X-ray diffraction results confirmed the synthesis of ZnO with nanometric crystal size. The scanning electron microscopy analysis showed that the morphology and size of the particles depends on the synthesis condition used. It obtained particles between 20 and 200 nm in the sample without agitation, while the samples with stirring and ultrasound were 80 nm and 100 nm, respectively. ZnO nanoparticles showed antibacterial activity against Gram-positive S. aureus and Gram-negative P. aeruginosa. A quantitative analysis was performed by varying the concentration of ZnO nanoparticles. In all cases, the antibacterial activity against Gram-positives was greater than against Gram-negatives. Ultrasound-assisted ZnO nanoparticles showed the highest activity, around 99% and 80% for S. aureus and P. aeruginosa, respectively. Similar results were obtained in the study of the anti-inflammatory activity of ZnO nanoparticles; the ultrasound-assisted sample exhibited the highest percentage (93%), even above that shown by diclofenac, which was used as a reference. Therefore, the ZnO nanoparticles synthesized with sargassum extracts have properties that can be used safely and efficiently in the field of biomedicine.","author":[{"dropping-particle":"","family":"Lopez-Miranda","given":"Jose Luis","non-dropping-particle":"","parse-names":false,"suffix":""},{"dropping-particle":"","family":"Molina","given":"Gustavo A.","non-dropping-particle":"","parse-names":false,"suffix":""},{"dropping-particle":"","family":"González-Reyna","given":"Marlen Alexis","non-dropping-particle":"","parse-names":false,"suffix":""},{"dropping-particle":"","family":"España-Sánchez","given":"Beatriz Liliana","non-dropping-particle":"","parse-names":false,"suffix":""},{"dropping-particle":"","family":"Esparza","given":"Rodrigo","non-dropping-particle":"","parse-names":false,"suffix":""},{"dropping-particle":"","family":"Silva","given":"Rodolfo","non-dropping-particle":"","parse-names":false,"suffix":""},{"dropping-particle":"","family":"Estévez","given":"Miriam","non-dropping-particle":"","parse-names":false,"suffix":""}],"container-title":"International Journal of Molecular Sciences","id":"ITEM-1","issue":"2","issued":{"date-parts":[["2023"]]},"title":"Antibacterial and Anti-Inflammatory Properties of ZnO Nanoparticles Synthesized by a Green Method Using Sargassum Extracts","type":"article-journal","volume":"24"},"uris":["http://www.mendeley.com/documents/?uuid=297102f8-c768-4ae9-a2d4-1354cb9c873c"]}],"mendeley":{"formattedCitation":"(Lopez-Miranda et al., 2023)","plainTextFormattedCitation":"(Lopez-Miranda et al., 2023)","previouslyFormattedCitation":"(Lopez-Miranda et al., 2023)"},"properties":{"noteIndex":0},"schema":"https://github.com/citation-style-language/schema/raw/master/csl-citation.json"}</w:instrText>
      </w:r>
      <w:r w:rsidR="00ED5F0E" w:rsidRPr="006B08A0">
        <w:fldChar w:fldCharType="separate"/>
      </w:r>
      <w:r w:rsidR="00EE137C" w:rsidRPr="006B08A0">
        <w:rPr>
          <w:noProof/>
        </w:rPr>
        <w:t>(Lopez-Miranda et al., 2023)</w:t>
      </w:r>
      <w:r w:rsidR="00ED5F0E" w:rsidRPr="006B08A0">
        <w:fldChar w:fldCharType="end"/>
      </w:r>
      <w:r w:rsidR="00ED5F0E" w:rsidRPr="006B08A0">
        <w:t>.</w:t>
      </w:r>
    </w:p>
    <w:p w14:paraId="7FB8B6CB" w14:textId="77777777" w:rsidR="00C43090" w:rsidRPr="006B08A0" w:rsidRDefault="00C43090" w:rsidP="00600535">
      <w:pPr>
        <w:pStyle w:val="CETBodytext"/>
      </w:pPr>
    </w:p>
    <w:p w14:paraId="4CA5EDD1" w14:textId="1FC64746" w:rsidR="00345B90" w:rsidRDefault="008134DB" w:rsidP="00600535">
      <w:pPr>
        <w:pStyle w:val="CETBodytext"/>
      </w:pPr>
      <w:r w:rsidRPr="006B08A0">
        <w:t xml:space="preserve">Therefore, some species of sargassum, since they are a rich source of antioxidants, </w:t>
      </w:r>
      <w:r w:rsidR="000D14FA" w:rsidRPr="006B08A0">
        <w:t xml:space="preserve">are </w:t>
      </w:r>
      <w:r w:rsidRPr="006B08A0">
        <w:t>used in nanobiotechnology for the synthesis of different nanomaterials, by using bioactive compounds (reducing agents) for the nanoparticles synthesis</w:t>
      </w:r>
      <w:r w:rsidR="00D918C8" w:rsidRPr="006B08A0">
        <w:t xml:space="preserve"> </w:t>
      </w:r>
      <w:r w:rsidR="00E11CB5" w:rsidRPr="006B08A0">
        <w:fldChar w:fldCharType="begin" w:fldLock="1"/>
      </w:r>
      <w:r w:rsidR="00EE137C" w:rsidRPr="006B08A0">
        <w:instrText>ADDIN CSL_CITATION {"citationItems":[{"id":"ITEM-1","itemData":{"DOI":"10.3390/ma14154135","ISSN":"19961944","abstract":"Natural extracts are the source of many antioxidant substances. They have proven useful not only as supplements preventing diseases caused by oxidative stress and food additives preventing oxidation but also as system components for the production of metallic nanoparticles by the socalled green synthesis. This is important given the drastically increased demand for nanomaterials in biomedical fields. The source of ecological technology for producing nanoparticles can be plants or microorganisms (yeast, algae, cyanobacteria, fungi, and bacteria). This review presents recently published research on the green synthesis of nanoparticles. The conditions of biosynthesis and possible mechanisms of nanoparticle formation with the participation of bacteria are presented. The potential of natural extracts for biogenic synthesis depends on the content of reducing substances. The assessment of the antioxidant activity of extracts as multicomponent mixtures is still a challenge for analytical chemistry. There is still no universal test for measuring total antioxidant capacity (TAC). There are many in vitro chemical tests that quantify the antioxidant scavenging activity of free radicals and their ability to chelate metals and that reduce free radical damage. This paper presents the classification of antioxidants and non-enzymatic methods of testing antioxidant capacity in vitro, with particular emphasis on methods based on nanoparticles. Examples of recent studies on the antioxidant activity of natural extracts obtained from different species such as plants, fungi, bacteria, algae, lichens, actinomycetes were collected, giving evaluation methods, reference antioxidants, and details on the preparation of extracts.","author":[{"dropping-particle":"","family":"Flieger","given":"Jolanta","non-dropping-particle":"","parse-names":false,"suffix":""},{"dropping-particle":"","family":"Flieger","given":"Wojciech","non-dropping-particle":"","parse-names":false,"suffix":""},{"dropping-particle":"","family":"Baj","given":"Jacek","non-dropping-particle":"","parse-names":false,"suffix":""},{"dropping-particle":"","family":"Maciejewski","given":"Ryszard","non-dropping-particle":"","parse-names":false,"suffix":""}],"container-title":"Materials","id":"ITEM-1","issue":"15","issued":{"date-parts":[["2021"]]},"title":"Antioxidants: Classification, natural sources, activity/capacity measurements, and usefulness for the synthesis of nanoparticles","type":"article-journal","volume":"14"},"uris":["http://www.mendeley.com/documents/?uuid=b1b69e88-8cd7-4e2c-8ff4-40a5eb82046b"]}],"mendeley":{"formattedCitation":"(Flieger et al., 2021)","plainTextFormattedCitation":"(Flieger et al., 2021)","previouslyFormattedCitation":"(Flieger et al., 2021)"},"properties":{"noteIndex":0},"schema":"https://github.com/citation-style-language/schema/raw/master/csl-citation.json"}</w:instrText>
      </w:r>
      <w:r w:rsidR="00E11CB5" w:rsidRPr="006B08A0">
        <w:fldChar w:fldCharType="separate"/>
      </w:r>
      <w:r w:rsidR="00EE137C" w:rsidRPr="006B08A0">
        <w:rPr>
          <w:noProof/>
        </w:rPr>
        <w:t>(Flieger et al., 2021)</w:t>
      </w:r>
      <w:r w:rsidR="00E11CB5" w:rsidRPr="006B08A0">
        <w:fldChar w:fldCharType="end"/>
      </w:r>
      <w:r w:rsidRPr="006B08A0">
        <w:t xml:space="preserve">. This is achieved through a process known as </w:t>
      </w:r>
      <w:proofErr w:type="spellStart"/>
      <w:r w:rsidRPr="006B08A0">
        <w:t>bioreduction</w:t>
      </w:r>
      <w:proofErr w:type="spellEnd"/>
      <w:r w:rsidRPr="00F4609D">
        <w:t>, where the metal ions used for the synthesis of nanomaterials are reduced to atoms by redox reactions, by reductive agents present in algae. The reducing agents not only serve for the synthesis of nanomaterials, but also provide certain properties to the nanoparticles such as stability, biocompatibility, specificity and even antimicrobial capacity, depending on the bioactive compounds produced by the algae</w:t>
      </w:r>
      <w:r w:rsidR="00E11CB5">
        <w:t xml:space="preserve"> </w:t>
      </w:r>
      <w:r w:rsidR="00A50DFD">
        <w:fldChar w:fldCharType="begin" w:fldLock="1"/>
      </w:r>
      <w:r w:rsidR="00EE137C">
        <w:instrText>ADDIN CSL_CITATION {"citationItems":[{"id":"ITEM-1","itemData":{"DOI":"https://doi.org/10.3390/molecules28073060","author":[{"dropping-particle":"","family":"Antunes","given":"S. F.","non-dropping-particle":"","parse-names":false,"suffix":""},{"dropping-particle":"","family":"Santos","given":"M. S.","non-dropping-particle":"Dos","parse-names":false,"suffix":""},{"dropping-particle":"","family":"Santos","given":"O. A. L.","non-dropping-particle":"dos","parse-names":false,"suffix":""},{"dropping-particle":"","family":"Backx","given":"B. P.","non-dropping-particle":"","parse-names":false,"suffix":""},{"dropping-particle":"","family":"Soran","given":"M. L.","non-dropping-particle":"","parse-names":false,"suffix":""},{"dropping-particle":"","family":"Opris","given":"O.","non-dropping-particle":"","parse-names":false,"suffix":""},{"dropping-particle":"","family":"Lung","given":"I.","non-dropping-particle":"","parse-names":false,"suffix":""},{"dropping-particle":"","family":"Stegarescu","given":"A.","non-dropping-particle":"","parse-names":false,"suffix":""},{"dropping-particle":"","family":"Bououdina","given":"M.","non-dropping-particle":"","parse-names":false,"suffix":""}],"container-title":"Molecules","id":"ITEM-1","issue":"7","issued":{"date-parts":[["2023"]]},"page":"101-117","title":"Biosynthesis of nanoparticles using plant extracts and essential oils","type":"article-journal","volume":"28"},"uris":["http://www.mendeley.com/documents/?uuid=5de0bc8d-5ce8-489c-a3b2-73369c7057be"]},{"id":"ITEM-2","itemData":{"DOI":"10.1016/j.algal.2019.101422","ISSN":"22119264","abstract":"Species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Research","id":"ITEM-2","issue":"2019","issued":{"date-parts":[["2019"]]},"page":"101422","title":"Ulvan: A systematic review of extraction, composition and function","type":"article-journal","volume":"39"},"uris":["http://www.mendeley.com/documents/?uuid=da78441b-244a-4f16-bf1d-2936e62dde5e"]}],"mendeley":{"formattedCitation":"(Antunes et al., 2023; Kidgell et al., 2019)","plainTextFormattedCitation":"(Antunes et al., 2023; Kidgell et al., 2019)","previouslyFormattedCitation":"(Antunes et al., 2023; Kidgell et al., 2019)"},"properties":{"noteIndex":0},"schema":"https://github.com/citation-style-language/schema/raw/master/csl-citation.json"}</w:instrText>
      </w:r>
      <w:r w:rsidR="00A50DFD">
        <w:fldChar w:fldCharType="separate"/>
      </w:r>
      <w:r w:rsidR="00EE137C" w:rsidRPr="00EE137C">
        <w:rPr>
          <w:noProof/>
        </w:rPr>
        <w:t>(Antunes et al., 2023; Kidgell et al., 2019)</w:t>
      </w:r>
      <w:r w:rsidR="00A50DFD">
        <w:fldChar w:fldCharType="end"/>
      </w:r>
      <w:r w:rsidRPr="00F4609D">
        <w:t>.</w:t>
      </w:r>
    </w:p>
    <w:p w14:paraId="028E2510" w14:textId="77777777" w:rsidR="008134DB" w:rsidRPr="008134DB" w:rsidRDefault="008134DB" w:rsidP="00600535">
      <w:pPr>
        <w:pStyle w:val="CETBodytext"/>
      </w:pPr>
    </w:p>
    <w:p w14:paraId="13A9C5FB" w14:textId="457511F7" w:rsidR="004B56EA" w:rsidRPr="00F67CFA" w:rsidRDefault="004B56EA" w:rsidP="00600535">
      <w:pPr>
        <w:pStyle w:val="CETBodytext"/>
      </w:pPr>
      <w:r w:rsidRPr="004B56EA">
        <w:t>Among the compounds that can be produced by seaweeds</w:t>
      </w:r>
      <w:r w:rsidR="001B74DD">
        <w:t xml:space="preserve"> for the nanomaterials synthesis </w:t>
      </w:r>
      <w:r w:rsidRPr="004B56EA">
        <w:t xml:space="preserve"> are</w:t>
      </w:r>
      <w:r w:rsidR="001B74DD">
        <w:t xml:space="preserve"> </w:t>
      </w:r>
      <w:r w:rsidR="008134DB">
        <w:t>polyphenols</w:t>
      </w:r>
      <w:r w:rsidR="001B74DD">
        <w:t xml:space="preserve">, flavonoids, </w:t>
      </w:r>
      <w:r w:rsidR="008134DB">
        <w:t>pigments</w:t>
      </w:r>
      <w:r w:rsidR="001B74DD">
        <w:t xml:space="preserve">, </w:t>
      </w:r>
      <w:r w:rsidR="008134DB">
        <w:t>alkaloids</w:t>
      </w:r>
      <w:r w:rsidR="001B74DD">
        <w:t>,</w:t>
      </w:r>
      <w:r w:rsidRPr="004B56EA">
        <w:t xml:space="preserve"> fucoidan, alginic acid, </w:t>
      </w:r>
      <w:proofErr w:type="spellStart"/>
      <w:r w:rsidRPr="004B56EA">
        <w:t>carrageenans</w:t>
      </w:r>
      <w:proofErr w:type="spellEnd"/>
      <w:r w:rsidRPr="004B56EA">
        <w:t xml:space="preserve">, </w:t>
      </w:r>
      <w:proofErr w:type="spellStart"/>
      <w:r w:rsidRPr="004B56EA">
        <w:t>xylans</w:t>
      </w:r>
      <w:proofErr w:type="spellEnd"/>
      <w:r w:rsidRPr="004B56EA">
        <w:t xml:space="preserve">, </w:t>
      </w:r>
      <w:proofErr w:type="spellStart"/>
      <w:r w:rsidRPr="006B08A0">
        <w:t>galactans</w:t>
      </w:r>
      <w:proofErr w:type="spellEnd"/>
      <w:r w:rsidRPr="006B08A0">
        <w:t xml:space="preserve">, laminaria and </w:t>
      </w:r>
      <w:r w:rsidR="001B74DD" w:rsidRPr="006B08A0">
        <w:t>different</w:t>
      </w:r>
      <w:r w:rsidRPr="006B08A0">
        <w:t xml:space="preserve"> </w:t>
      </w:r>
      <w:r w:rsidRPr="006B08A0">
        <w:lastRenderedPageBreak/>
        <w:t xml:space="preserve">sulfated polysaccharides </w:t>
      </w:r>
      <w:r w:rsidR="009D2856" w:rsidRPr="006B08A0">
        <w:fldChar w:fldCharType="begin" w:fldLock="1"/>
      </w:r>
      <w:r w:rsidR="00EE137C" w:rsidRPr="006B08A0">
        <w:instrText xml:space="preserve">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id":"ITEM-2","itemData":{"DOI":"https://doi.org/10.1007/s12010-022-03966-w","author":[{"dropping-particle":"","family":"Kothai","given":"Ramalingam","non-dropping-particle":"","parse-names":false,"suffix":""},{"dropping-particle":"","family":"Arul","given":"Balasubramanian","non-dropping-particle":"","parse-names":false,"suffix":""},{"dropping-particle":"","family":"Anbazhagan","given":"Venkattappan","non-dropping-particle":"","parse-names":false,"suffix":""}],"container-title":"Applied Biochemistry and Biotechnology","id":"ITEM-2","issued":{"date-parts":[["2022"]]},"page":"3747–3763","publisher":"Springer US","title":"Anti </w:instrText>
      </w:r>
      <w:r w:rsidR="00EE137C" w:rsidRPr="006B08A0">
        <w:rPr>
          <w:rFonts w:ascii="Cambria Math" w:hAnsi="Cambria Math" w:cs="Cambria Math"/>
        </w:rPr>
        <w:instrText>‑</w:instrText>
      </w:r>
      <w:r w:rsidR="00EE137C" w:rsidRPr="006B08A0">
        <w:instrText xml:space="preserve"> Dengue Activity of ZnO Nanoparticles of Crude Fucoidan from Brown Seaweed S.marginatum","type":"article-journal","volume":"195"},"uris":["http://www.mendeley.com/documents/?uuid=1460ef2d-f038-4be5-80e6-c49ba5a75b01"]}],"mendeley":{"formattedCitation":"(Kidgell et al., 2019; Kothai et al., 2022)","plainTextFormattedCitation":"(Kidgell et al., 2019; Kothai et al., 2022)","previouslyFormattedCitation":"(Kidgell et al., 2019; Kothai et al., 2022)"},"properties":{"noteIndex":0},"schema":"https://github.com/citation-style-language/schema/raw/master/csl-citation.json"}</w:instrText>
      </w:r>
      <w:r w:rsidR="009D2856" w:rsidRPr="006B08A0">
        <w:fldChar w:fldCharType="separate"/>
      </w:r>
      <w:r w:rsidR="00EE137C" w:rsidRPr="006B08A0">
        <w:rPr>
          <w:noProof/>
        </w:rPr>
        <w:t>(Kidgell et al., 2019; Kothai et al., 2022)</w:t>
      </w:r>
      <w:r w:rsidR="009D2856" w:rsidRPr="006B08A0">
        <w:fldChar w:fldCharType="end"/>
      </w:r>
      <w:r w:rsidR="00682801" w:rsidRPr="006B08A0">
        <w:t>. All these compounds are</w:t>
      </w:r>
      <w:r w:rsidRPr="006B08A0">
        <w:t xml:space="preserve"> potent antioxidants with anticoagulant, </w:t>
      </w:r>
      <w:proofErr w:type="spellStart"/>
      <w:r w:rsidRPr="006B08A0">
        <w:t>antinflammatory</w:t>
      </w:r>
      <w:proofErr w:type="spellEnd"/>
      <w:r w:rsidRPr="006B08A0">
        <w:t>,</w:t>
      </w:r>
      <w:r w:rsidR="001B74DD" w:rsidRPr="006B08A0">
        <w:t xml:space="preserve"> and</w:t>
      </w:r>
      <w:r w:rsidRPr="006B08A0">
        <w:t xml:space="preserve"> antitumor properties and even employed for the treatment of bacterial, fungal, viral, ulcer and cancer diseases </w:t>
      </w:r>
      <w:r w:rsidR="000A433B" w:rsidRPr="006B08A0">
        <w:fldChar w:fldCharType="begin" w:fldLock="1"/>
      </w:r>
      <w:r w:rsidR="00EE137C" w:rsidRPr="006B08A0">
        <w:instrText xml:space="preserve">ADDIN CSL_CITATION {"citationItems":[{"id":"ITEM-1","itemData":{"DOI":"https://doi.org/10.1007/s12010-022-03966-w","author":[{"dropping-particle":"","family":"Kothai","given":"Ramalingam","non-dropping-particle":"","parse-names":false,"suffix":""},{"dropping-particle":"","family":"Arul","given":"Balasubramanian","non-dropping-particle":"","parse-names":false,"suffix":""},{"dropping-particle":"","family":"Anbazhagan","given":"Venkattappan","non-dropping-particle":"","parse-names":false,"suffix":""}],"container-title":"Applied Biochemistry and Biotechnology","id":"ITEM-1","issued":{"date-parts":[["2022"]]},"page":"3747–3763","publisher":"Springer US","title":"Anti </w:instrText>
      </w:r>
      <w:r w:rsidR="00EE137C" w:rsidRPr="006B08A0">
        <w:rPr>
          <w:rFonts w:ascii="Cambria Math" w:hAnsi="Cambria Math" w:cs="Cambria Math"/>
        </w:rPr>
        <w:instrText>‑</w:instrText>
      </w:r>
      <w:r w:rsidR="00EE137C" w:rsidRPr="006B08A0">
        <w:instrText xml:space="preserve"> Dengue Activity of ZnO Nanoparticles of Crude Fucoidan from Brown Seaweed S.marginatum","type":"article-journal","volume":"195"},"uris":["http://www.mendeley.com/documents/?uuid=1460ef2d-f038-4be5-80e6-c49ba5a75b01"]}],"mendeley":{"formattedCitation":"(Kothai et al., 2022)","plainTextFormattedCitation":"(Kothai et al., 2022)","previouslyFormattedCitation":"(Kothai et al., 2022)"},"properties":{"noteIndex":0},"schema":"https://github.com/citation-style-language/schema/raw/master/csl-citation.json"}</w:instrText>
      </w:r>
      <w:r w:rsidR="000A433B" w:rsidRPr="006B08A0">
        <w:fldChar w:fldCharType="separate"/>
      </w:r>
      <w:r w:rsidR="00EE137C" w:rsidRPr="006B08A0">
        <w:rPr>
          <w:noProof/>
        </w:rPr>
        <w:t>(Kothai et al., 2022)</w:t>
      </w:r>
      <w:r w:rsidR="000A433B" w:rsidRPr="006B08A0">
        <w:fldChar w:fldCharType="end"/>
      </w:r>
      <w:r w:rsidRPr="006B08A0">
        <w:t>.</w:t>
      </w:r>
      <w:r w:rsidR="00D143B0" w:rsidRPr="006B08A0">
        <w:t xml:space="preserve"> For example, some brown seaweeds such as </w:t>
      </w:r>
      <w:r w:rsidR="00D143B0" w:rsidRPr="006B08A0">
        <w:rPr>
          <w:i/>
        </w:rPr>
        <w:t>Sargassum vulgare</w:t>
      </w:r>
      <w:r w:rsidR="00D143B0" w:rsidRPr="006B08A0">
        <w:t xml:space="preserve">, </w:t>
      </w:r>
      <w:r w:rsidR="00D143B0" w:rsidRPr="006B08A0">
        <w:rPr>
          <w:i/>
          <w:iCs/>
        </w:rPr>
        <w:t xml:space="preserve">Sargassum </w:t>
      </w:r>
      <w:proofErr w:type="spellStart"/>
      <w:r w:rsidR="00D143B0" w:rsidRPr="006B08A0">
        <w:rPr>
          <w:i/>
          <w:iCs/>
        </w:rPr>
        <w:t>muticum</w:t>
      </w:r>
      <w:proofErr w:type="spellEnd"/>
      <w:r w:rsidR="00D143B0" w:rsidRPr="006B08A0">
        <w:t xml:space="preserve">, and </w:t>
      </w:r>
      <w:r w:rsidR="00D143B0" w:rsidRPr="006B08A0">
        <w:rPr>
          <w:i/>
        </w:rPr>
        <w:t xml:space="preserve">Sargassum </w:t>
      </w:r>
      <w:proofErr w:type="spellStart"/>
      <w:r w:rsidR="00D143B0" w:rsidRPr="006B08A0">
        <w:rPr>
          <w:i/>
        </w:rPr>
        <w:t>wightii</w:t>
      </w:r>
      <w:proofErr w:type="spellEnd"/>
      <w:r w:rsidR="00D143B0" w:rsidRPr="006B08A0">
        <w:t xml:space="preserve"> </w:t>
      </w:r>
      <w:r w:rsidR="000D14FA" w:rsidRPr="006B08A0">
        <w:t xml:space="preserve">were </w:t>
      </w:r>
      <w:r w:rsidR="00D143B0" w:rsidRPr="006B08A0">
        <w:t xml:space="preserve">reported to contain </w:t>
      </w:r>
      <w:proofErr w:type="spellStart"/>
      <w:r w:rsidR="00D143B0" w:rsidRPr="006B08A0">
        <w:t>phlorotannins</w:t>
      </w:r>
      <w:proofErr w:type="spellEnd"/>
      <w:r w:rsidR="00D143B0" w:rsidRPr="006B08A0">
        <w:t xml:space="preserve">, flavonoid fucoxanthins, heteropolymers, and sulfated polysaccharides such as fucoidans </w:t>
      </w:r>
      <w:r w:rsidR="00D143B0" w:rsidRPr="006B08A0">
        <w:fldChar w:fldCharType="begin" w:fldLock="1"/>
      </w:r>
      <w:r w:rsidR="00EE137C" w:rsidRPr="006B08A0">
        <w:instrText>ADDIN CSL_CITATION {"citationItems":[{"id":"ITEM-1","itemData":{"DOI":"10.1016/j.scitotenv.2018.06.176","ISSN":"18791026","PMID":"29960231","abstract":"Most of the studies regarding the impact of ocean acidification on macroalgae have been carried out for short-term periods, in controlled laboratory conditions, thus hampering the possibility to scale up the effects on long-term. In the present study, the volcanic CO2 vents off Ischia Island were used as a natural laboratory to investigate the metabolic response of the brown alga Sargassum vulgare to acidification at different time scales. For long-term effects, algal populations naturally growing at acidified and control sites were compared. For short-term responses, in situ reciprocal transplants from control to acidified site and vice-versa were performed. Changes in the levels of sugars, fatty acids (FAs), amino acids (AAs), antioxidants, and phenolic compounds were examined. Our main finding includes variable metabolic response of this alga at different time scales to natural acidification. The levels of sugars, FAs, and some secondary metabolites were lower in the natural population at the acidified site, whereas the majority of AAs were higher than those detected in thalli growing at control site. Moreover, in algae transplanted from control to acidified site, soluble sugars (glucose and mannose), majority of AAs, and FAs increased in comparison to control plants transplanted within the same site. The differences in the response of the macroalga suggest that the metabolic changes observed in transplants may be due to acclimation that supports algae to cope with acidification, thus leading to adaptation to lowered pH in long time scale.","author":[{"dropping-particle":"","family":"Kumar","given":"Amit","non-dropping-particle":"","parse-names":false,"suffix":""},{"dropping-particle":"","family":"AbdElgawad","given":"Hamada","non-dropping-particle":"","parse-names":false,"suffix":""},{"dropping-particle":"","family":"Castellano","given":"Immacolata","non-dropping-particle":"","parse-names":false,"suffix":""},{"dropping-particle":"","family":"Selim","given":"Samy","non-dropping-particle":"","parse-names":false,"suffix":""},{"dropping-particle":"","family":"Beemster","given":"Gerrit T.S.","non-dropping-particle":"","parse-names":false,"suffix":""},{"dropping-particle":"","family":"Asard","given":"Han","non-dropping-particle":"","parse-names":false,"suffix":""},{"dropping-particle":"","family":"Buia","given":"Maria Cristina","non-dropping-particle":"","parse-names":false,"suffix":""},{"dropping-particle":"","family":"Palumbo","given":"Anna","non-dropping-particle":"","parse-names":false,"suffix":""}],"container-title":"Science of the Total Environment","id":"ITEM-1","issued":{"date-parts":[["2018"]]},"page":"946-956","publisher":"Elsevier B.V.","title":"Effects of ocean acidification on the levels of primary and secondary metabolites in the brown macroalga Sargassum vulgare at different time scales","type":"article-journal","volume":"643"},"uris":["http://www.mendeley.com/documents/?uuid=1861ac14-51a7-4787-a1c3-355123cf5d0f"]},{"id":"ITEM-2","itemData":{"DOI":"http://doi.org/10.22438/jeb/44/2/MRN-5081","author":[{"dropping-particle":"","family":"Afreen","given":"A. B.","non-dropping-particle":"","parse-names":false,"suffix":""},{"dropping-particle":"","family":"Rasool","given":"F.","non-dropping-particle":"","parse-names":false,"suffix":""},{"dropping-particle":"","family":"Fatima","given":"M.","non-dropping-particle":"","parse-names":false,"suffix":""}],"container-title":"Journal of Environmental Biology","id":"ITEM-2","issue":"2023","issued":{"date-parts":[["2023"]]},"page":"146-158","title":"Bioactive properties of brown seaweed, Sargassum wightii and its nutritional, therapeutic potential and health benefits: A review","type":"article-journal","volume":"44"},"uris":["http://www.mendeley.com/documents/?uuid=f063a96c-0122-4a04-aaa9-186a44be88e4"]},{"id":"ITEM-3","itemData":{"DOI":"10.1007/s11157-015-9381-7","ISSN":"15729826","abstract":"Marine seaweeds represent an abundant source of natural products and may harbour valuable chemicals. The brown seaweed Sargassum muticum is an invasive species to the coasts of the British Isles, mainland Europe and North America. Attempts at its eradication and control have generally not been successful, although time-consuming and costly. Commercial exploration of this biomass for food, fuel and pharmaceutical products could encourage its harvesting and control. Though S. muticum might be unsuitable as a source of biofuel due to high ash and water content, this rapidly growing macroalga has a naturally high content of antioxidants, carotenoids and phenols, including the well-known anti-cancer compound fucoxanthin, making this species a potential source of a range of pharmaceutically relevant materials.","author":[{"dropping-particle":"","family":"Milledge","given":"John J.","non-dropping-particle":"","parse-names":false,"suffix":""},{"dropping-particle":"V.","family":"Nielsen","given":"Birthe","non-dropping-particle":"","parse-names":false,"suffix":""},{"dropping-particle":"","family":"Bailey","given":"David","non-dropping-particle":"","parse-names":false,"suffix":""}],"container-title":"Reviews in Environmental Science and Biotechnology","id":"ITEM-3","issue":"1","issued":{"date-parts":[["2016"]]},"page":"67-88","publisher":"Springer Netherlands","title":"High-value products from macroalgae: the potential uses of the invasive brown seaweed, Sargassum muticum","type":"article-journal","volume":"15"},"uris":["http://www.mendeley.com/documents/?uuid=9f911b40-e359-4cf9-852d-58b6f56828d7"]}],"mendeley":{"formattedCitation":"(Afreen et al., 2023; Kumar et al., 2018; Milledge et al., 2016)","plainTextFormattedCitation":"(Afreen et al., 2023; Kumar et al., 2018; Milledge et al., 2016)","previouslyFormattedCitation":"(Afreen et al., 2023; Kumar et al., 2018; Milledge et al., 2016)"},"properties":{"noteIndex":0},"schema":"https://github.com/citation-style-language/schema/raw/master/csl-citation.json"}</w:instrText>
      </w:r>
      <w:r w:rsidR="00D143B0" w:rsidRPr="006B08A0">
        <w:fldChar w:fldCharType="separate"/>
      </w:r>
      <w:r w:rsidR="00EE137C" w:rsidRPr="006B08A0">
        <w:rPr>
          <w:noProof/>
        </w:rPr>
        <w:t>(Afreen et al., 2023; Kumar et al., 2018; Milledge et al., 2016)</w:t>
      </w:r>
      <w:r w:rsidR="00D143B0" w:rsidRPr="006B08A0">
        <w:fldChar w:fldCharType="end"/>
      </w:r>
      <w:r w:rsidRPr="006B08A0">
        <w:t>.</w:t>
      </w:r>
      <w:r w:rsidR="008134DB" w:rsidRPr="006B08A0">
        <w:t xml:space="preserve"> However, there are only few reports related with nanomaterial synthesis that </w:t>
      </w:r>
      <w:r w:rsidR="006058E0" w:rsidRPr="006B08A0">
        <w:t>analyzed</w:t>
      </w:r>
      <w:r w:rsidR="008134DB" w:rsidRPr="006B08A0">
        <w:t xml:space="preserve"> the content and concentration of bioactive compounds involve</w:t>
      </w:r>
      <w:r w:rsidR="00C527FA" w:rsidRPr="006B08A0">
        <w:t>d</w:t>
      </w:r>
      <w:r w:rsidR="008134DB" w:rsidRPr="006B08A0">
        <w:t xml:space="preserve"> in the synthesis and just </w:t>
      </w:r>
      <w:r w:rsidR="006058E0" w:rsidRPr="006B08A0">
        <w:t>limited to mention</w:t>
      </w:r>
      <w:r w:rsidR="008134DB" w:rsidRPr="006B08A0">
        <w:t xml:space="preserve"> the possible components that may be present in the algae</w:t>
      </w:r>
      <w:r w:rsidR="00D143B0" w:rsidRPr="006B08A0">
        <w:t xml:space="preserve"> </w:t>
      </w:r>
      <w:r w:rsidR="0013498D" w:rsidRPr="006B08A0">
        <w:fldChar w:fldCharType="begin" w:fldLock="1"/>
      </w:r>
      <w:r w:rsidR="00EE137C" w:rsidRPr="006B08A0">
        <w:instrText>ADDIN CSL_CITATION {"citationItems":[{"id":"ITEM-1","itemData":{"DOI":"10.1016/j.scp.2021.100563","ISSN":"23525541","abstract":"The Ferrous Reducing Antioxidant Potential (FRAP) of aqueous plant ex-tracts is investigated for the purpose of studying FRAP effect on Fe2+ va-cancies formation in greenly synthesized wüstite (FexO) nanoparticles. This study used four aqueous plant extracts as reducing agents with FeCl3 as pre-cursor to synthesize FexO nanoparticles. Plants dealt with in this study are Rosemarinus officinalis.L, Juniperus phoenicia.(L), Matricaria Pubescent.(L), and Artemisia herba-alba.(L). In this paper, a novel study that investigates how variation in FRAP impacts the formation of cation vacancies within greenly synthesized FexO samples was conducted. The synthesized samples are characterized by XRD, SEM, ATR-FTIR, and UV–Vis. Therefore, lattice parameters are calculated through XRD data, and then wüstite compositions are calculated using McCammon equation. Results show that the FRAP has a clear effect on Fe2+ vacancies formation within wüstite nanoparticles. In- deed, The increase in the FRAP leads to a decrease in Fe2+ defects and consequently an increase in the grain size. Furthermore, studying iron va-cancies’ effect on wüstite formation thermodynamic showed that free energy of wüstite formation ΔG0f FeO (x) is impacted by cation vacancies and hence by FRAP.","author":[{"dropping-particle":"","family":"Ahmouda","given":"Kaouthar","non-dropping-particle":"","parse-names":false,"suffix":""},{"dropping-particle":"","family":"Benhaoua","given":"Boubaker","non-dropping-particle":"","parse-names":false,"suffix":""},{"dropping-particle":"","family":"Laouini","given":"Salah Eddine","non-dropping-particle":"","parse-names":false,"suffix":""},{"dropping-particle":"","family":"Labbi","given":"Asma","non-dropping-particle":"","parse-names":false,"suffix":""}],"container-title":"Sustainable Chemistry and Pharmacy","id":"ITEM-1","issue":"November 2021","issued":{"date-parts":[["2022"]]},"page":"100563","publisher":"Elsevier B.V.","title":"Plant extract FRAP effect on cation vacancies formation in greenly synthesized wüstite (FexO) nanoparticles: A new contribution","type":"article-journal","volume":"25"},"uris":["http://www.mendeley.com/documents/?uuid=a6e89b26-6479-4af1-871b-65240bde8965"]},{"id":"ITEM-2","itemData":{"ISSN":"2322-181X","PMID":"27843980","abstract":"The green synthesis of metallic nanoparticles is an active research area in nanotechnology. In the present study, antioxidant potential, total reducing capacity and silver nanoparticles' (Ag NPs) synthetic potential of methanolic leaf extracts of seven plant species were evaluated and compared. Antioxidant capacity, expressed as µmol Trolox equivalents g-1 DW (µmol TE g-1 DW), ranged from 116.0 to 1.80. The plants Rosmarinus sp. and Zataria Multiflora showed highest antioxidant capacities with IC50 of 1.07 and 1.22 mg ml-1, respectively. Total reducing capacity ranged from 7.6 to 0.17 mg gallic acid equivalent to g-1 DW (mg GAE g-1 DW). Plants with high antioxidant potentials also showed higher total reducing capacity. In fact, the order of the plants' reducing capacity was similar to that of their antioxidant potential. The same two plant species, i.e., Zataria Multiflora and Rosmarinus sp, with high reducing capacities, showed higher potentials for Ag NPs synthesis. It is concluded that reducing substances in the extracts contribute significantly to the antioxidant potential of the tested plant species, and plants with a high reducing capacity are excellent sources for the green synthesis of metallic nanoparticles. In addition, synthetic antioxidants have adverse effects on human health; therefore, to benefit more from the health promoting properties of plant species, evaluating their novel natural antioxidants is recommended.","author":[{"dropping-particle":"","family":"Goodarzi","given":"Vahid","non-dropping-particle":"","parse-names":false,"suffix":""},{"dropping-particle":"","family":"Zamani","given":"Hajar","non-dropping-particle":"","parse-names":false,"suffix":""},{"dropping-particle":"","family":"Bajuli","given":"Leila","non-dropping-particle":"","parse-names":false,"suffix":""},{"dropping-particle":"","family":"Moradshahi","given":"Ali","non-dropping-particle":"","parse-names":false,"suffix":""}],"container-title":"Molecular biology research communications","id":"ITEM-2","issue":"3","issued":{"date-parts":[["2014"]]},"page":"165-174","title":"Evaluation of antioxidant potential and reduction capacity of some plant extracts in silver nanoparticles' synthesis.","type":"article-journal","volume":"3"},"uris":["http://www.mendeley.com/documents/?uuid=e4ed5f49-2599-4c8a-9aeb-8d4c921872e9"]},{"id":"ITEM-3","itemData":{"DOI":"10.3390/nano11071679","ISSN":"20794991","abstract":"In this work, water extracts from different bio-based products of plant origin were studied to evaluate their antioxidant capacity and their potential to form metal nanoparticles from aqueous solutions. Two traditional tests, the Folin–Ciocalteu assay and the DPPH radical scavenging capacity method were compared with a more recent one, SNPAC, based on the formation of silver nano-particles. The silver nanoparticle antioxidant capacity method (SNPAC) was optimized for its application in the characterization of the extracts selected in this work; kinetic studies and extract con-centration were also evaluated. The extracts were obtained from leaves of oak, eucalyptus, green tea, white and common thyme, white cedar, mint, rosemary, bay, lemon, and the seaweed Sargassum muticum. The results demonstrate that any of these three methods can be used as a quick test to identify an extract to be employed for nanoparticle formation. Additionally, we studied the synthesis of Cu, Fe, Pb, Ni, and Ag nanoparticles using eucalyptus extracts demonstrating the efficiency of this plant extract to form metallic nanoparticles from aqueous metal salt solutions. Metal nano-particles were characterized by transmission electron microscopy and dynamic light scattering techniques.","author":[{"dropping-particle":"","family":"Martínez-Cabanas","given":"María","non-dropping-particle":"","parse-names":false,"suffix":""},{"dropping-particle":"","family":"López-García","given":"Marta","non-dropping-particle":"","parse-names":false,"suffix":""},{"dropping-particle":"","fa</w:instrText>
      </w:r>
      <w:r w:rsidR="00EE137C" w:rsidRPr="006B08A0">
        <w:rPr>
          <w:lang w:val="es-419"/>
        </w:rPr>
        <w:instrText>mily":"Rodríguez-Barro","given":"Pilar","non-dropping-particle":"","parse-names":false,"suffix":""},{"dropping-particle":"","family":"Vilariño","given":"Teresa","non-dropping-particle":"","parse-names":false,"suffix":""},{"dropping-particle":"","family":"Lodeiro","given":"Pablo","non-dropping-particle":"","parse-names":false,"suffix":""},{"dropping-particle":"","family":"Herrero","given":"Roberto","non-dropping-particle":"","parse-names":false,"suffix":""},{"dropping-particle":"","family":"Barriada","given":"José L.","non-dropping-particle":"","parse-names":false,"suffix":""},{"dropping-particle":"","family":"Vicente","given":"Manuel E.Sastre","non-dropping-particle":"de","parse-names":false,"suffix":""}],"container-title":"Nanomaterials","id":"ITEM-3","issue":"7","issued":{"date-parts":[["2021"]]},"page":"1-14","title":"Antioxidant capacity assessment of plant extracts for green synthesis of nanoparticles","type":"article-journal","volume":"11"},"uris":["http://www.mendeley.com/documents/?uuid=e0c7eaa9-143a-4961-a2b1-90b828125751"]}],"mendeley":{"formattedCitation":"(Ahmouda et al., 2022; Goodarzi et al., 2014; Martínez-Cabanas et al., 2021)","plainTextFormattedCitation":"(Ahmouda et al., 2022; Goodarzi et al., 2014; Martínez-Cabanas et al., 2021)","previouslyFormattedCitation":"(Ahmouda et al., 2022; Goodarzi et al., 2014; Martínez-Cabanas et al., 2021)"},"properties":{"noteIndex":0},"schema":"https://github.com/citation-style-language/schema/raw/master/csl-citation.json"}</w:instrText>
      </w:r>
      <w:r w:rsidR="0013498D" w:rsidRPr="006B08A0">
        <w:fldChar w:fldCharType="separate"/>
      </w:r>
      <w:r w:rsidR="00EE137C" w:rsidRPr="006B08A0">
        <w:rPr>
          <w:noProof/>
          <w:lang w:val="es-419"/>
        </w:rPr>
        <w:t>(Ahmouda et al., 2022; Goodarzi et al., 2014; Martínez-Cabanas et al., 2021)</w:t>
      </w:r>
      <w:r w:rsidR="0013498D" w:rsidRPr="006B08A0">
        <w:fldChar w:fldCharType="end"/>
      </w:r>
      <w:r w:rsidR="008134DB" w:rsidRPr="006B08A0">
        <w:rPr>
          <w:lang w:val="es-419"/>
        </w:rPr>
        <w:t>.</w:t>
      </w:r>
      <w:r w:rsidR="00E87637" w:rsidRPr="006B08A0">
        <w:rPr>
          <w:lang w:val="es-MX"/>
        </w:rPr>
        <w:t xml:space="preserve"> </w:t>
      </w:r>
      <w:r w:rsidR="00E87637" w:rsidRPr="006B08A0">
        <w:t xml:space="preserve">Thus, the present work attempts to evaluate the potential of </w:t>
      </w:r>
      <w:r w:rsidR="0079526F" w:rsidRPr="006B08A0">
        <w:t xml:space="preserve">components of the </w:t>
      </w:r>
      <w:r w:rsidR="00E87637" w:rsidRPr="006B08A0">
        <w:t>sargassum</w:t>
      </w:r>
      <w:r w:rsidR="0079526F" w:rsidRPr="006B08A0">
        <w:t xml:space="preserve"> extracts</w:t>
      </w:r>
      <w:r w:rsidR="00E87637" w:rsidRPr="006B08A0">
        <w:t xml:space="preserve"> for the synthesis of nanomaterials, by assessing the antioxidant capacity, reducing sugars and organic and inorganic sulfates as indicators</w:t>
      </w:r>
      <w:r w:rsidR="00E87637" w:rsidRPr="001D4F12">
        <w:t xml:space="preserve"> of the presence and content of sulfated polysaccharides</w:t>
      </w:r>
      <w:r w:rsidR="0079526F" w:rsidRPr="001D4F12">
        <w:t xml:space="preserve"> </w:t>
      </w:r>
      <w:r w:rsidR="001D4F12" w:rsidRPr="003C58AE">
        <w:t>well known for their nutraceutical, therapeutic, adjuvant and biomedical properties.</w:t>
      </w:r>
    </w:p>
    <w:p w14:paraId="70A17D42" w14:textId="77777777" w:rsidR="00F4609D" w:rsidRPr="00F67CFA" w:rsidRDefault="00F4609D" w:rsidP="00600535">
      <w:pPr>
        <w:pStyle w:val="CETBodytext"/>
      </w:pPr>
    </w:p>
    <w:p w14:paraId="2653E4C0" w14:textId="1F0F16FC" w:rsidR="005E1263" w:rsidRPr="00E23C39" w:rsidRDefault="006F0A9E" w:rsidP="00600535">
      <w:pPr>
        <w:pStyle w:val="CETBodytext"/>
      </w:pPr>
      <w:r w:rsidRPr="006F0A9E">
        <w:t>The extraction of antioxidant compounds</w:t>
      </w:r>
      <w:r w:rsidR="009A1EBD">
        <w:t xml:space="preserve"> as sulfated polysaccharides</w:t>
      </w:r>
      <w:r w:rsidRPr="006F0A9E">
        <w:t xml:space="preserve"> from seaweed biomass</w:t>
      </w:r>
      <w:r w:rsidR="001B74DD">
        <w:t xml:space="preserve"> for nanomaterials biosynthesis</w:t>
      </w:r>
      <w:r w:rsidRPr="006F0A9E">
        <w:t xml:space="preserve"> is performed by exposing the organic material to different polar solvents such as water, ethanol and methanol</w:t>
      </w:r>
      <w:r w:rsidR="002E3D43">
        <w:t xml:space="preserve"> </w:t>
      </w:r>
      <w:r w:rsidR="002E3D43">
        <w:fldChar w:fldCharType="begin" w:fldLock="1"/>
      </w:r>
      <w:r w:rsidR="00EE137C">
        <w:instrText>ADDIN CSL_CITATION {"citationItems":[{"id":"ITEM-1","itemData":{"DOI":"https://doi.org/10.3390/molecules28073060","author":[{"dropping-particle":"","family":"Antunes","given":"S. F.","non-dropping-particle":"","parse-names":false,"suffix":""},{"dropping-particle":"","family":"Santos","given":"M. S.","non-dropping-particle":"Dos","parse-names":false,"suffix":""},{"dropping-particle":"","family":"Santos","given":"O. A. L.","non-dropping-particle":"dos","parse-names":false,"suffix":""},{"dropping-particle":"","family":"Backx","given":"B. P.","non-dropping-particle":"","parse-names":false,"suffix":""},{"dropping-particle":"","family":"Soran","given":"M. L.","non-dropping-particle":"","parse-names":false,"suffix":""},{"dropping-particle":"","family":"Opris","given":"O.","non-dropping-particle":"","parse-names":false,"suffix":""},{"dropping-particle":"","family":"Lung","given":"I.","non-dropping-particle":"","parse-names":false,"suffix":""},{"dropping-particle":"","family":"Stegarescu","given":"A.","non-dropping-particle":"","parse-names":false,"suffix":""},{"dropping-particle":"","family":"Bououdina","given":"M.","non-dropping-particle":"","parse-names":false,"suffix":""}],"container-title":"Molecules","id":"ITEM-1","issue":"7","issued":{"date-parts":[["2023"]]},"page":"101-117","title":"Biosynthesis of nanoparticles using plant extracts and essential oils","type":"article-journal","volume":"28"},"uris":["http://www.mendeley.com/documents/?uuid=5de0bc8d-5ce8-489c-a3b2-73369c7057be"]}],"mendeley":{"formattedCitation":"(Antunes et al., 2023)","plainTextFormattedCitation":"(Antunes et al., 2023)","previouslyFormattedCitation":"(Antunes et al., 2023)"},"properties":{"noteIndex":0},"schema":"https://github.com/citation-style-language/schema/raw/master/csl-citation.json"}</w:instrText>
      </w:r>
      <w:r w:rsidR="002E3D43">
        <w:fldChar w:fldCharType="separate"/>
      </w:r>
      <w:r w:rsidR="00EE137C" w:rsidRPr="00EE137C">
        <w:rPr>
          <w:noProof/>
        </w:rPr>
        <w:t>(Antunes et al., 2023)</w:t>
      </w:r>
      <w:r w:rsidR="002E3D43">
        <w:fldChar w:fldCharType="end"/>
      </w:r>
      <w:r w:rsidRPr="006F0A9E">
        <w:t>. However, the extraction of these compounds also depends on their composition and chemical structure, thus the extraction parameters are different for each algal species</w:t>
      </w:r>
      <w:r w:rsidR="00082866">
        <w:t xml:space="preserve"> </w:t>
      </w:r>
      <w:r w:rsidR="00082866">
        <w:fldChar w:fldCharType="begin" w:fldLock="1"/>
      </w:r>
      <w:r w:rsidR="00EE137C">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082866">
        <w:fldChar w:fldCharType="separate"/>
      </w:r>
      <w:r w:rsidR="00EE137C" w:rsidRPr="00EE137C">
        <w:rPr>
          <w:noProof/>
        </w:rPr>
        <w:t>(Kidgell et al., 2019)</w:t>
      </w:r>
      <w:r w:rsidR="00082866">
        <w:fldChar w:fldCharType="end"/>
      </w:r>
      <w:r w:rsidRPr="006F0A9E">
        <w:t xml:space="preserve">. </w:t>
      </w:r>
      <w:proofErr w:type="spellStart"/>
      <w:r w:rsidRPr="006F0A9E">
        <w:t>Kidgell</w:t>
      </w:r>
      <w:proofErr w:type="spellEnd"/>
      <w:r w:rsidRPr="006F0A9E">
        <w:t xml:space="preserve"> </w:t>
      </w:r>
      <w:r w:rsidR="00A80221">
        <w:t>et al.</w:t>
      </w:r>
      <w:r w:rsidR="007B179A">
        <w:t xml:space="preserve"> </w:t>
      </w:r>
      <w:r w:rsidR="007B179A" w:rsidRPr="006B08A0">
        <w:fldChar w:fldCharType="begin" w:fldLock="1"/>
      </w:r>
      <w:r w:rsidR="00EE137C" w:rsidRPr="006B08A0">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2019)","manualFormatting":"(2019)","plainTextFormattedCitation":"(Kidgell et al., 2019)","previouslyFormattedCitation":"(Kidgell et al., 2019)"},"properties":{"noteIndex":0},"schema":"https://github.com/citation-style-language/schema/raw/master/csl-citation.json"}</w:instrText>
      </w:r>
      <w:r w:rsidR="007B179A" w:rsidRPr="006B08A0">
        <w:fldChar w:fldCharType="separate"/>
      </w:r>
      <w:r w:rsidR="007B179A" w:rsidRPr="006B08A0">
        <w:rPr>
          <w:noProof/>
        </w:rPr>
        <w:t>(2019)</w:t>
      </w:r>
      <w:r w:rsidR="007B179A" w:rsidRPr="006B08A0">
        <w:fldChar w:fldCharType="end"/>
      </w:r>
      <w:r w:rsidR="007B179A" w:rsidRPr="006B08A0">
        <w:t xml:space="preserve"> </w:t>
      </w:r>
      <w:r w:rsidRPr="006B08A0">
        <w:t>reported that the extraction of sulfated polysaccharides with antioxidant power depends mainly on three factors</w:t>
      </w:r>
      <w:r w:rsidR="00334191" w:rsidRPr="006B08A0">
        <w:t>:</w:t>
      </w:r>
      <w:r w:rsidRPr="006B08A0">
        <w:t xml:space="preserve"> pH, temperature and time of extraction.</w:t>
      </w:r>
      <w:r w:rsidR="003048D8" w:rsidRPr="006B08A0">
        <w:t xml:space="preserve"> Data was confirmed by </w:t>
      </w:r>
      <w:proofErr w:type="spellStart"/>
      <w:r w:rsidR="003048D8" w:rsidRPr="006B08A0">
        <w:t>Harb</w:t>
      </w:r>
      <w:proofErr w:type="spellEnd"/>
      <w:r w:rsidR="003048D8" w:rsidRPr="006B08A0">
        <w:t xml:space="preserve"> et al. </w:t>
      </w:r>
      <w:r w:rsidR="003048D8" w:rsidRPr="006B08A0">
        <w:fldChar w:fldCharType="begin" w:fldLock="1"/>
      </w:r>
      <w:r w:rsidR="003048D8" w:rsidRPr="006B08A0">
        <w:instrText>ADDIN CSL_CITATION {"citationItems":[{"id":"ITEM-1","itemData":{"DOI":"10.1007/s10811-021-02446-8","ISSN":"15735176","abstract":"Beach-cast marine algae are a potential biomass for several biofunctional products and occur in large volumes in some coastal regions due to natural current processes or drifting algae like pelagic Sargassum. Antioxidant activity and chemical composition of methanolic and aqueous extracts from fifteen beach-cast marine algae from the Brazilian Coast were evaluated. In general, the highest antioxidant activities were found in extracts from brown macroalgae followed by the extracts of red algae, and the lowest activities were detected in the green beach-cast algae. The concentrations of phenolic compounds and carbohydrates exhibited a positive correlation with the antioxidant activities of the tested extracts. To the best of our knowledge, this is one of the few worldwide studies concerning beach-cast seaweeds and antioxidant activity and related antioxidant metabolites. This study suggests that these algae are potential sources for obtaining extracts with antioxidant properties, rich in phenolic compounds and sulfated carbohydrates. Beach-cast macroalgae are unused biomass and the beneficial utilization of this biomass for prospection of natural products and functional foods is suggested.","author":[{"dropping-particle":"","family":"Harb","given":"Talissa Barroco","non-dropping-particle":"","parse-names":false,"suffix":""},{"dropping-particle":"","family":"Pereira","given":"Mariana S.","non-dropping-particle":"","parse-names":false,"suffix":""},{"dropping-particle":"","family":"Cavalcanti","given":"Maria Irisvalda L.G.","non-dropping-particle":"","parse-names":false,"suffix":""},{"dropping-particle":"","family":"Fujii","given":"Mutue T.","non-dropping-particle":"","parse-names":false,"suffix":""},{"dropping-particle":"","family":"Chow","given":"Fungyi","non-dropping-particle":"","parse-names":false,"suffix":""}],"container-title":"Journal of Applied Phycology","id":"ITEM-1","issue":"5","issued":{"date-parts":[["2021"]]},"page":"3383-3395","publisher":"Journal of Applied Phycology","title":"Antioxidant activity and related chemical composition of extracts from Brazilian beach-cast marine algae: opportunities of turning a waste into a resource","type":"article-journal","volume":"33"},"uris":["http://www.mendeley.com/documents/?uuid=e93faa43-8aac-4da5-9e6b-4db2abc51416"]}],"mendeley":{"formattedCitation":"(Harb et al., 2021)","manualFormatting":"(2021)","plainTextFormattedCitation":"(Harb et al., 2021)","previouslyFormattedCitation":"(Harb et al., 2021)"},"properties":{"noteIndex":0},"schema":"https://github.com/citation-style-language/schema/raw/master/csl-citation.json"}</w:instrText>
      </w:r>
      <w:r w:rsidR="003048D8" w:rsidRPr="006B08A0">
        <w:fldChar w:fldCharType="separate"/>
      </w:r>
      <w:r w:rsidR="003048D8" w:rsidRPr="006B08A0">
        <w:rPr>
          <w:noProof/>
        </w:rPr>
        <w:t>(2021)</w:t>
      </w:r>
      <w:r w:rsidR="003048D8" w:rsidRPr="006B08A0">
        <w:fldChar w:fldCharType="end"/>
      </w:r>
      <w:r w:rsidR="003048D8" w:rsidRPr="006B08A0">
        <w:t>, where they found that aqueous</w:t>
      </w:r>
      <w:r w:rsidR="003048D8" w:rsidRPr="001D4F12">
        <w:t xml:space="preserve"> extracts of 13 seaweeds; eight red, four brown, and one green species, contain mainly sulfated polysaccharides when the biomass was heated to 80° for 3 h. However, the</w:t>
      </w:r>
      <w:r w:rsidR="0079526F" w:rsidRPr="001D4F12">
        <w:t>y observed that the</w:t>
      </w:r>
      <w:r w:rsidR="003048D8" w:rsidRPr="001D4F12">
        <w:t xml:space="preserve"> extraction of such compounds is not selective, since it also depends on the algae species, geographic location where it was collected, stage of its development, environmental conditions, among other factors </w:t>
      </w:r>
      <w:r w:rsidR="003048D8" w:rsidRPr="007168CB">
        <w:fldChar w:fldCharType="begin" w:fldLock="1"/>
      </w:r>
      <w:r w:rsidR="003048D8" w:rsidRPr="007168CB">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3048D8" w:rsidRPr="007168CB">
        <w:fldChar w:fldCharType="separate"/>
      </w:r>
      <w:r w:rsidR="003048D8" w:rsidRPr="007168CB">
        <w:rPr>
          <w:noProof/>
        </w:rPr>
        <w:t>(Kidgell et al., 2019)</w:t>
      </w:r>
      <w:r w:rsidR="003048D8" w:rsidRPr="007168CB">
        <w:fldChar w:fldCharType="end"/>
      </w:r>
      <w:r w:rsidR="003048D8" w:rsidRPr="007168CB">
        <w:t>.</w:t>
      </w:r>
      <w:r w:rsidRPr="007168CB">
        <w:t xml:space="preserve"> </w:t>
      </w:r>
      <w:bookmarkStart w:id="0" w:name="_Hlk155687315"/>
      <w:r w:rsidRPr="007168CB">
        <w:t>Therefore, the aim of this research</w:t>
      </w:r>
      <w:r w:rsidR="005E1263" w:rsidRPr="007168CB">
        <w:t xml:space="preserve"> </w:t>
      </w:r>
      <w:bookmarkEnd w:id="0"/>
      <w:r w:rsidR="005E1263" w:rsidRPr="007168CB">
        <w:t>was</w:t>
      </w:r>
      <w:r w:rsidR="00F90459" w:rsidRPr="007168CB">
        <w:t xml:space="preserve"> </w:t>
      </w:r>
      <w:r w:rsidR="005E1263" w:rsidRPr="007168CB">
        <w:t xml:space="preserve">to determine the pH, temperature and </w:t>
      </w:r>
      <w:r w:rsidR="00F82C14" w:rsidRPr="007168CB">
        <w:t>concentration</w:t>
      </w:r>
      <w:r w:rsidR="003A312B" w:rsidRPr="007168CB">
        <w:t xml:space="preserve"> of the </w:t>
      </w:r>
      <w:r w:rsidR="007F095A" w:rsidRPr="007168CB">
        <w:t>biomass</w:t>
      </w:r>
      <w:r w:rsidR="003A312B" w:rsidRPr="007168CB">
        <w:t xml:space="preserve"> (</w:t>
      </w:r>
      <w:r w:rsidR="007F095A" w:rsidRPr="007168CB">
        <w:t>%</w:t>
      </w:r>
      <w:r w:rsidR="003A312B" w:rsidRPr="007168CB">
        <w:t>)</w:t>
      </w:r>
      <w:r w:rsidR="005E1263" w:rsidRPr="007168CB">
        <w:t xml:space="preserve"> </w:t>
      </w:r>
      <w:r w:rsidR="006C564F" w:rsidRPr="007168CB">
        <w:t xml:space="preserve">conditions </w:t>
      </w:r>
      <w:r w:rsidR="005E1263" w:rsidRPr="007168CB">
        <w:t xml:space="preserve">for obtaining aqueous extracts of </w:t>
      </w:r>
      <w:r w:rsidR="005E1263" w:rsidRPr="007168CB">
        <w:rPr>
          <w:i/>
        </w:rPr>
        <w:t>Sargassum sp.</w:t>
      </w:r>
      <w:r w:rsidR="005E1263" w:rsidRPr="007168CB">
        <w:t xml:space="preserve"> for future application in the synthesis of nanomaterials.</w:t>
      </w:r>
      <w:r w:rsidR="00EA6A6F">
        <w:t xml:space="preserve"> </w:t>
      </w:r>
    </w:p>
    <w:p w14:paraId="502547B7" w14:textId="103FC5A1" w:rsidR="00465AAC" w:rsidRPr="00B57B36" w:rsidRDefault="00465AAC" w:rsidP="00465AAC">
      <w:pPr>
        <w:pStyle w:val="CETHeading1"/>
        <w:rPr>
          <w:lang w:val="en-GB"/>
        </w:rPr>
      </w:pPr>
      <w:r>
        <w:rPr>
          <w:lang w:val="en-GB"/>
        </w:rPr>
        <w:t>Materials and methods</w:t>
      </w:r>
    </w:p>
    <w:p w14:paraId="61384CA7" w14:textId="044B5324" w:rsidR="00465AAC" w:rsidRPr="003A312B" w:rsidRDefault="003A312B" w:rsidP="0006382A">
      <w:pPr>
        <w:pStyle w:val="Estilo1"/>
        <w:numPr>
          <w:ilvl w:val="2"/>
          <w:numId w:val="1"/>
        </w:numPr>
      </w:pPr>
      <w:r w:rsidRPr="003A312B">
        <w:t>Selection of the optimal conditions for sargassum extract obtention</w:t>
      </w:r>
    </w:p>
    <w:p w14:paraId="39CE2DE9" w14:textId="04F323B2" w:rsidR="00162233" w:rsidRDefault="00354F18" w:rsidP="00600535">
      <w:pPr>
        <w:pStyle w:val="CETBodytext"/>
      </w:pPr>
      <w:r w:rsidRPr="00354F18">
        <w:t xml:space="preserve">The </w:t>
      </w:r>
      <w:r w:rsidRPr="006B08A0">
        <w:t xml:space="preserve">seaweed of the </w:t>
      </w:r>
      <w:r w:rsidRPr="006B08A0">
        <w:rPr>
          <w:i/>
        </w:rPr>
        <w:t>Sargassum</w:t>
      </w:r>
      <w:r w:rsidRPr="006B08A0">
        <w:t xml:space="preserve"> genus obtained from the Mexican coast, was rinsed with running water to eliminate salt residues and dried at room temperature. The seaweed was then dehydrated at 60°C for 24 h and pulverized with the aid of an electric grinder. A</w:t>
      </w:r>
      <w:r w:rsidR="00334191" w:rsidRPr="006B08A0">
        <w:rPr>
          <w:vertAlign w:val="superscript"/>
        </w:rPr>
        <w:t xml:space="preserve"> </w:t>
      </w:r>
      <w:r w:rsidR="00334191" w:rsidRPr="006B08A0">
        <w:t xml:space="preserve">factorial </w:t>
      </w:r>
      <w:r w:rsidRPr="006B08A0">
        <w:t>desig</w:t>
      </w:r>
      <w:r w:rsidR="00334191" w:rsidRPr="006B08A0">
        <w:t>n</w:t>
      </w:r>
      <w:r w:rsidR="00935EB2" w:rsidRPr="006B08A0">
        <w:t xml:space="preserve"> 2</w:t>
      </w:r>
      <w:r w:rsidR="00935EB2" w:rsidRPr="006B08A0">
        <w:rPr>
          <w:vertAlign w:val="superscript"/>
        </w:rPr>
        <w:t>3</w:t>
      </w:r>
      <w:r w:rsidRPr="006B08A0">
        <w:t xml:space="preserve"> was performed</w:t>
      </w:r>
      <w:r w:rsidR="008C21D1" w:rsidRPr="006B08A0">
        <w:t xml:space="preserve"> </w:t>
      </w:r>
      <w:r w:rsidR="00935EB2" w:rsidRPr="006B08A0">
        <w:t xml:space="preserve">using </w:t>
      </w:r>
      <w:proofErr w:type="spellStart"/>
      <w:r w:rsidR="00935EB2" w:rsidRPr="006B08A0">
        <w:t>Desing</w:t>
      </w:r>
      <w:proofErr w:type="spellEnd"/>
      <w:r w:rsidR="00935EB2" w:rsidRPr="006B08A0">
        <w:t xml:space="preserve">-Expert v11 software </w:t>
      </w:r>
      <w:r w:rsidR="008C21D1" w:rsidRPr="006B08A0">
        <w:t>(Table 1)</w:t>
      </w:r>
      <w:r w:rsidRPr="006B08A0">
        <w:t xml:space="preserve">, which evaluated three factors </w:t>
      </w:r>
      <w:r w:rsidR="007A7F3C" w:rsidRPr="006B08A0">
        <w:t>at two levels</w:t>
      </w:r>
      <w:r w:rsidRPr="006B08A0">
        <w:t xml:space="preserve"> </w:t>
      </w:r>
      <w:r w:rsidR="007A7F3C" w:rsidRPr="006B08A0">
        <w:t>temperature (</w:t>
      </w:r>
      <w:r w:rsidRPr="006B08A0">
        <w:t>70 and 90°C), pH (2.5 and 4.5) and concentration of the dry weight of sargassum dissolved in water (5 and 11%), as well as four responses</w:t>
      </w:r>
      <w:r w:rsidR="007A7F3C" w:rsidRPr="006B08A0">
        <w:t xml:space="preserve">: </w:t>
      </w:r>
      <w:r w:rsidRPr="006B08A0">
        <w:t>ferric antioxidant reducing power (FRAP), reducing carbohydrates, inorganic sulfates and organic or esterified</w:t>
      </w:r>
      <w:r w:rsidRPr="005D7FE0">
        <w:t xml:space="preserve"> sulfates </w:t>
      </w:r>
      <w:r w:rsidR="00725CBD">
        <w:fldChar w:fldCharType="begin" w:fldLock="1"/>
      </w:r>
      <w:r w:rsidR="00EE137C">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725CBD">
        <w:fldChar w:fldCharType="separate"/>
      </w:r>
      <w:r w:rsidR="00EE137C" w:rsidRPr="00EE137C">
        <w:rPr>
          <w:noProof/>
        </w:rPr>
        <w:t>(Kidgell et al., 2019)</w:t>
      </w:r>
      <w:r w:rsidR="00725CBD">
        <w:fldChar w:fldCharType="end"/>
      </w:r>
      <w:r w:rsidRPr="005D7FE0">
        <w:t>.</w:t>
      </w:r>
      <w:r w:rsidR="003220C1">
        <w:t xml:space="preserve"> </w:t>
      </w:r>
      <w:r w:rsidRPr="005D7FE0">
        <w:t xml:space="preserve">For this, seaweed biomass and distilled water were mixed at the concentration of 5 and 11% (w/v) at a final volume of 30 </w:t>
      </w:r>
      <w:proofErr w:type="spellStart"/>
      <w:r w:rsidRPr="005D7FE0">
        <w:t>mL.</w:t>
      </w:r>
      <w:proofErr w:type="spellEnd"/>
      <w:r w:rsidRPr="005D7FE0">
        <w:t xml:space="preserve"> Subsequently, the pH was adjusted to 2.5 or 4.5 according to the design and heated to the indicated conditions (70 and 90°C). The mixture was kept in agitation for 1 h under the established conditions and subsequently the supernatant was filtered on </w:t>
      </w:r>
      <w:proofErr w:type="spellStart"/>
      <w:r w:rsidRPr="005D7FE0">
        <w:t>Whatman</w:t>
      </w:r>
      <w:r w:rsidRPr="00D43AF4">
        <w:rPr>
          <w:vertAlign w:val="superscript"/>
        </w:rPr>
        <w:t>TM</w:t>
      </w:r>
      <w:proofErr w:type="spellEnd"/>
      <w:r w:rsidRPr="005D7FE0">
        <w:t xml:space="preserve"> grade 608 paper. The extracts were kept in freezing at -20°C until further use </w:t>
      </w:r>
      <w:r w:rsidR="005A3769">
        <w:fldChar w:fldCharType="begin" w:fldLock="1"/>
      </w:r>
      <w:r w:rsidR="00EE137C">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5A3769">
        <w:fldChar w:fldCharType="separate"/>
      </w:r>
      <w:r w:rsidR="00EE137C" w:rsidRPr="00EE137C">
        <w:rPr>
          <w:noProof/>
        </w:rPr>
        <w:t>(Kidgell et al., 2019)</w:t>
      </w:r>
      <w:r w:rsidR="005A3769">
        <w:fldChar w:fldCharType="end"/>
      </w:r>
      <w:r w:rsidR="005A3769">
        <w:t>.</w:t>
      </w:r>
    </w:p>
    <w:p w14:paraId="795504F7" w14:textId="77777777" w:rsidR="0006382A" w:rsidRPr="009D5550" w:rsidRDefault="0006382A" w:rsidP="00600535">
      <w:pPr>
        <w:pStyle w:val="CETBodytext"/>
      </w:pPr>
    </w:p>
    <w:p w14:paraId="050F91B7" w14:textId="6443DFC3" w:rsidR="00040824" w:rsidRPr="00072CA7" w:rsidRDefault="008C21D1" w:rsidP="008C21D1">
      <w:pPr>
        <w:pStyle w:val="CETBodytext"/>
        <w:rPr>
          <w:i/>
        </w:rPr>
      </w:pPr>
      <w:r w:rsidRPr="00BF75A5">
        <w:rPr>
          <w:i/>
        </w:rPr>
        <w:t>Table 1: Factorial design 2</w:t>
      </w:r>
      <w:r w:rsidRPr="00BF75A5">
        <w:rPr>
          <w:i/>
          <w:vertAlign w:val="superscript"/>
        </w:rPr>
        <w:t>3</w:t>
      </w:r>
      <w:r w:rsidRPr="00BF75A5">
        <w:rPr>
          <w:i/>
        </w:rPr>
        <w:t xml:space="preserve"> for obtaining aqueous extracts of Sargassum sp</w:t>
      </w:r>
      <w:r w:rsidRPr="00FC5A3C">
        <w:rPr>
          <w:i/>
        </w:rPr>
        <w:t>.</w:t>
      </w:r>
      <w:r w:rsidR="004B1E5A">
        <w:rPr>
          <w:i/>
        </w:rPr>
        <w:t>*</w:t>
      </w:r>
    </w:p>
    <w:tbl>
      <w:tblPr>
        <w:tblStyle w:val="Tablaconcuadrcula"/>
        <w:tblW w:w="7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199"/>
        <w:gridCol w:w="467"/>
        <w:gridCol w:w="1117"/>
        <w:gridCol w:w="567"/>
        <w:gridCol w:w="1186"/>
        <w:gridCol w:w="985"/>
        <w:gridCol w:w="1117"/>
      </w:tblGrid>
      <w:tr w:rsidR="008C21D1" w:rsidRPr="003010FA" w14:paraId="2B8BB5EA" w14:textId="77777777" w:rsidTr="008C21D1">
        <w:tc>
          <w:tcPr>
            <w:tcW w:w="567" w:type="dxa"/>
            <w:tcBorders>
              <w:top w:val="single" w:sz="12" w:space="0" w:color="008000"/>
              <w:bottom w:val="single" w:sz="6" w:space="0" w:color="008000"/>
            </w:tcBorders>
            <w:vAlign w:val="center"/>
          </w:tcPr>
          <w:p w14:paraId="2F3AAAF8" w14:textId="77777777" w:rsidR="008C21D1" w:rsidRPr="003010FA" w:rsidRDefault="008C21D1" w:rsidP="008C21D1">
            <w:pPr>
              <w:jc w:val="center"/>
              <w:rPr>
                <w:rFonts w:cs="Arial"/>
                <w:szCs w:val="18"/>
                <w:lang w:val="es-419"/>
              </w:rPr>
            </w:pPr>
            <w:r>
              <w:rPr>
                <w:rFonts w:cs="Arial"/>
                <w:szCs w:val="18"/>
                <w:lang w:val="es-419"/>
              </w:rPr>
              <w:t>Run</w:t>
            </w:r>
          </w:p>
        </w:tc>
        <w:tc>
          <w:tcPr>
            <w:tcW w:w="1199" w:type="dxa"/>
            <w:tcBorders>
              <w:top w:val="single" w:sz="12" w:space="0" w:color="008000"/>
              <w:bottom w:val="single" w:sz="6" w:space="0" w:color="008000"/>
            </w:tcBorders>
            <w:vAlign w:val="center"/>
          </w:tcPr>
          <w:p w14:paraId="78BDB752" w14:textId="77777777" w:rsidR="008C21D1" w:rsidRPr="003010FA" w:rsidRDefault="008C21D1" w:rsidP="008C21D1">
            <w:pPr>
              <w:jc w:val="center"/>
              <w:rPr>
                <w:rFonts w:cs="Arial"/>
                <w:szCs w:val="18"/>
                <w:lang w:val="es-419"/>
              </w:rPr>
            </w:pPr>
            <w:proofErr w:type="spellStart"/>
            <w:r w:rsidRPr="003010FA">
              <w:rPr>
                <w:rFonts w:cs="Arial"/>
                <w:szCs w:val="18"/>
                <w:lang w:val="es-419"/>
              </w:rPr>
              <w:t>Temp</w:t>
            </w:r>
            <w:proofErr w:type="spellEnd"/>
            <w:r>
              <w:rPr>
                <w:rFonts w:cs="Arial"/>
                <w:szCs w:val="18"/>
                <w:lang w:val="es-419"/>
              </w:rPr>
              <w:t>.</w:t>
            </w:r>
            <w:r w:rsidRPr="003010FA">
              <w:rPr>
                <w:rFonts w:cs="Arial"/>
                <w:szCs w:val="18"/>
                <w:lang w:val="es-419"/>
              </w:rPr>
              <w:t xml:space="preserve"> (°C)</w:t>
            </w:r>
          </w:p>
        </w:tc>
        <w:tc>
          <w:tcPr>
            <w:tcW w:w="467" w:type="dxa"/>
            <w:tcBorders>
              <w:top w:val="single" w:sz="12" w:space="0" w:color="008000"/>
              <w:bottom w:val="single" w:sz="6" w:space="0" w:color="008000"/>
            </w:tcBorders>
            <w:vAlign w:val="center"/>
          </w:tcPr>
          <w:p w14:paraId="212EACB8" w14:textId="77777777" w:rsidR="008C21D1" w:rsidRPr="003010FA" w:rsidRDefault="008C21D1" w:rsidP="008C21D1">
            <w:pPr>
              <w:jc w:val="center"/>
              <w:rPr>
                <w:rFonts w:cs="Arial"/>
                <w:szCs w:val="18"/>
                <w:lang w:val="es-419"/>
              </w:rPr>
            </w:pPr>
            <w:r w:rsidRPr="003010FA">
              <w:rPr>
                <w:rFonts w:cs="Arial"/>
                <w:szCs w:val="18"/>
                <w:lang w:val="es-419"/>
              </w:rPr>
              <w:t>pH</w:t>
            </w:r>
          </w:p>
        </w:tc>
        <w:tc>
          <w:tcPr>
            <w:tcW w:w="1117" w:type="dxa"/>
            <w:tcBorders>
              <w:top w:val="single" w:sz="12" w:space="0" w:color="008000"/>
              <w:bottom w:val="single" w:sz="6" w:space="0" w:color="008000"/>
            </w:tcBorders>
            <w:vAlign w:val="center"/>
          </w:tcPr>
          <w:p w14:paraId="16A4BFED" w14:textId="77777777" w:rsidR="008C21D1" w:rsidRPr="003010FA" w:rsidRDefault="008C21D1" w:rsidP="008C21D1">
            <w:pPr>
              <w:jc w:val="center"/>
              <w:rPr>
                <w:rFonts w:cs="Arial"/>
                <w:szCs w:val="18"/>
                <w:lang w:val="es-419"/>
              </w:rPr>
            </w:pPr>
            <w:proofErr w:type="spellStart"/>
            <w:r w:rsidRPr="003010FA">
              <w:rPr>
                <w:rFonts w:cs="Arial"/>
                <w:szCs w:val="18"/>
                <w:lang w:val="es-419"/>
              </w:rPr>
              <w:t>Conc</w:t>
            </w:r>
            <w:proofErr w:type="spellEnd"/>
            <w:r>
              <w:rPr>
                <w:rFonts w:cs="Arial"/>
                <w:szCs w:val="18"/>
                <w:lang w:val="es-419"/>
              </w:rPr>
              <w:t>.</w:t>
            </w:r>
            <w:r w:rsidRPr="003010FA">
              <w:rPr>
                <w:rFonts w:cs="Arial"/>
                <w:szCs w:val="18"/>
                <w:lang w:val="es-419"/>
              </w:rPr>
              <w:t xml:space="preserve"> (%)</w:t>
            </w:r>
          </w:p>
        </w:tc>
        <w:tc>
          <w:tcPr>
            <w:tcW w:w="567" w:type="dxa"/>
            <w:tcBorders>
              <w:top w:val="single" w:sz="12" w:space="0" w:color="008000"/>
              <w:bottom w:val="single" w:sz="6" w:space="0" w:color="008000"/>
            </w:tcBorders>
            <w:vAlign w:val="center"/>
          </w:tcPr>
          <w:p w14:paraId="49639999" w14:textId="77777777" w:rsidR="008C21D1" w:rsidRPr="003010FA" w:rsidRDefault="008C21D1" w:rsidP="008C21D1">
            <w:pPr>
              <w:jc w:val="center"/>
              <w:rPr>
                <w:rFonts w:cs="Arial"/>
                <w:szCs w:val="18"/>
                <w:lang w:val="es-419"/>
              </w:rPr>
            </w:pPr>
            <w:r>
              <w:rPr>
                <w:rFonts w:cs="Arial"/>
                <w:szCs w:val="18"/>
                <w:lang w:val="es-419"/>
              </w:rPr>
              <w:t>Run</w:t>
            </w:r>
          </w:p>
        </w:tc>
        <w:tc>
          <w:tcPr>
            <w:tcW w:w="1186" w:type="dxa"/>
            <w:tcBorders>
              <w:top w:val="single" w:sz="12" w:space="0" w:color="008000"/>
              <w:bottom w:val="single" w:sz="6" w:space="0" w:color="008000"/>
            </w:tcBorders>
            <w:vAlign w:val="center"/>
          </w:tcPr>
          <w:p w14:paraId="0D086CC2" w14:textId="77777777" w:rsidR="008C21D1" w:rsidRPr="003010FA" w:rsidRDefault="008C21D1" w:rsidP="008C21D1">
            <w:pPr>
              <w:jc w:val="center"/>
              <w:rPr>
                <w:rFonts w:cs="Arial"/>
                <w:szCs w:val="18"/>
                <w:lang w:val="es-419"/>
              </w:rPr>
            </w:pPr>
            <w:proofErr w:type="spellStart"/>
            <w:r w:rsidRPr="003010FA">
              <w:rPr>
                <w:rFonts w:cs="Arial"/>
                <w:szCs w:val="18"/>
                <w:lang w:val="es-419"/>
              </w:rPr>
              <w:t>Temp</w:t>
            </w:r>
            <w:proofErr w:type="spellEnd"/>
            <w:r>
              <w:rPr>
                <w:rFonts w:cs="Arial"/>
                <w:szCs w:val="18"/>
                <w:lang w:val="es-419"/>
              </w:rPr>
              <w:t>.</w:t>
            </w:r>
            <w:r w:rsidRPr="003010FA">
              <w:rPr>
                <w:rFonts w:cs="Arial"/>
                <w:szCs w:val="18"/>
                <w:lang w:val="es-419"/>
              </w:rPr>
              <w:t xml:space="preserve"> (°C)</w:t>
            </w:r>
          </w:p>
        </w:tc>
        <w:tc>
          <w:tcPr>
            <w:tcW w:w="985" w:type="dxa"/>
            <w:tcBorders>
              <w:top w:val="single" w:sz="12" w:space="0" w:color="008000"/>
              <w:bottom w:val="single" w:sz="6" w:space="0" w:color="008000"/>
            </w:tcBorders>
            <w:vAlign w:val="center"/>
          </w:tcPr>
          <w:p w14:paraId="174110B7" w14:textId="77777777" w:rsidR="008C21D1" w:rsidRPr="003010FA" w:rsidRDefault="008C21D1" w:rsidP="008C21D1">
            <w:pPr>
              <w:jc w:val="center"/>
              <w:rPr>
                <w:rFonts w:cs="Arial"/>
                <w:szCs w:val="18"/>
                <w:lang w:val="es-419"/>
              </w:rPr>
            </w:pPr>
            <w:r w:rsidRPr="003010FA">
              <w:rPr>
                <w:rFonts w:cs="Arial"/>
                <w:szCs w:val="18"/>
                <w:lang w:val="es-419"/>
              </w:rPr>
              <w:t>pH</w:t>
            </w:r>
          </w:p>
        </w:tc>
        <w:tc>
          <w:tcPr>
            <w:tcW w:w="1117" w:type="dxa"/>
            <w:tcBorders>
              <w:top w:val="single" w:sz="12" w:space="0" w:color="008000"/>
              <w:bottom w:val="single" w:sz="6" w:space="0" w:color="008000"/>
            </w:tcBorders>
            <w:vAlign w:val="center"/>
          </w:tcPr>
          <w:p w14:paraId="362B05D6" w14:textId="77777777" w:rsidR="008C21D1" w:rsidRPr="003010FA" w:rsidRDefault="008C21D1" w:rsidP="008C21D1">
            <w:pPr>
              <w:jc w:val="center"/>
              <w:rPr>
                <w:rFonts w:cs="Arial"/>
                <w:szCs w:val="18"/>
                <w:lang w:val="es-419"/>
              </w:rPr>
            </w:pPr>
            <w:proofErr w:type="spellStart"/>
            <w:r w:rsidRPr="003010FA">
              <w:rPr>
                <w:rFonts w:cs="Arial"/>
                <w:szCs w:val="18"/>
                <w:lang w:val="es-419"/>
              </w:rPr>
              <w:t>Conc</w:t>
            </w:r>
            <w:proofErr w:type="spellEnd"/>
            <w:r>
              <w:rPr>
                <w:rFonts w:cs="Arial"/>
                <w:szCs w:val="18"/>
                <w:lang w:val="es-419"/>
              </w:rPr>
              <w:t>.</w:t>
            </w:r>
            <w:r w:rsidRPr="003010FA">
              <w:rPr>
                <w:rFonts w:cs="Arial"/>
                <w:szCs w:val="18"/>
                <w:lang w:val="es-419"/>
              </w:rPr>
              <w:t xml:space="preserve"> (%)</w:t>
            </w:r>
          </w:p>
        </w:tc>
      </w:tr>
      <w:tr w:rsidR="008C21D1" w:rsidRPr="003010FA" w14:paraId="780DAE6D" w14:textId="77777777" w:rsidTr="008C21D1">
        <w:tc>
          <w:tcPr>
            <w:tcW w:w="567" w:type="dxa"/>
            <w:tcBorders>
              <w:top w:val="single" w:sz="6" w:space="0" w:color="008000"/>
            </w:tcBorders>
            <w:vAlign w:val="center"/>
          </w:tcPr>
          <w:p w14:paraId="29CE9D50" w14:textId="77777777" w:rsidR="008C21D1" w:rsidRPr="003010FA" w:rsidRDefault="008C21D1" w:rsidP="008C21D1">
            <w:pPr>
              <w:jc w:val="center"/>
              <w:rPr>
                <w:rFonts w:cs="Arial"/>
                <w:szCs w:val="18"/>
                <w:lang w:val="es-419"/>
              </w:rPr>
            </w:pPr>
            <w:r w:rsidRPr="003010FA">
              <w:rPr>
                <w:rFonts w:cs="Arial"/>
                <w:szCs w:val="18"/>
                <w:lang w:val="es-419"/>
              </w:rPr>
              <w:t>1</w:t>
            </w:r>
          </w:p>
        </w:tc>
        <w:tc>
          <w:tcPr>
            <w:tcW w:w="1199" w:type="dxa"/>
            <w:tcBorders>
              <w:top w:val="single" w:sz="6" w:space="0" w:color="008000"/>
            </w:tcBorders>
            <w:vAlign w:val="center"/>
          </w:tcPr>
          <w:p w14:paraId="7675CE97"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tcBorders>
              <w:top w:val="single" w:sz="6" w:space="0" w:color="008000"/>
            </w:tcBorders>
            <w:vAlign w:val="center"/>
          </w:tcPr>
          <w:p w14:paraId="20837077"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tcBorders>
              <w:top w:val="single" w:sz="6" w:space="0" w:color="008000"/>
            </w:tcBorders>
            <w:vAlign w:val="center"/>
          </w:tcPr>
          <w:p w14:paraId="6D7E5793"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tcBorders>
              <w:top w:val="single" w:sz="6" w:space="0" w:color="008000"/>
            </w:tcBorders>
            <w:vAlign w:val="center"/>
          </w:tcPr>
          <w:p w14:paraId="22F29425" w14:textId="77777777" w:rsidR="008C21D1" w:rsidRPr="003010FA" w:rsidRDefault="008C21D1" w:rsidP="008C21D1">
            <w:pPr>
              <w:jc w:val="center"/>
              <w:rPr>
                <w:rFonts w:cs="Arial"/>
                <w:szCs w:val="18"/>
                <w:lang w:val="es-419"/>
              </w:rPr>
            </w:pPr>
            <w:r w:rsidRPr="003010FA">
              <w:rPr>
                <w:rFonts w:cs="Arial"/>
                <w:szCs w:val="18"/>
                <w:lang w:val="es-419"/>
              </w:rPr>
              <w:t>13</w:t>
            </w:r>
          </w:p>
        </w:tc>
        <w:tc>
          <w:tcPr>
            <w:tcW w:w="1186" w:type="dxa"/>
            <w:tcBorders>
              <w:top w:val="single" w:sz="6" w:space="0" w:color="008000"/>
            </w:tcBorders>
            <w:vAlign w:val="center"/>
          </w:tcPr>
          <w:p w14:paraId="4F2A1F17"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tcBorders>
              <w:top w:val="single" w:sz="6" w:space="0" w:color="008000"/>
            </w:tcBorders>
            <w:vAlign w:val="center"/>
          </w:tcPr>
          <w:p w14:paraId="1DF7926B"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tcBorders>
              <w:top w:val="single" w:sz="6" w:space="0" w:color="008000"/>
            </w:tcBorders>
            <w:vAlign w:val="center"/>
          </w:tcPr>
          <w:p w14:paraId="3DB8DD46"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1B1100B8" w14:textId="77777777" w:rsidTr="008C21D1">
        <w:tc>
          <w:tcPr>
            <w:tcW w:w="567" w:type="dxa"/>
            <w:vAlign w:val="center"/>
          </w:tcPr>
          <w:p w14:paraId="3FE9904C" w14:textId="77777777" w:rsidR="008C21D1" w:rsidRPr="003010FA" w:rsidRDefault="008C21D1" w:rsidP="008C21D1">
            <w:pPr>
              <w:jc w:val="center"/>
              <w:rPr>
                <w:rFonts w:cs="Arial"/>
                <w:szCs w:val="18"/>
                <w:lang w:val="es-419"/>
              </w:rPr>
            </w:pPr>
            <w:r w:rsidRPr="003010FA">
              <w:rPr>
                <w:rFonts w:cs="Arial"/>
                <w:szCs w:val="18"/>
                <w:lang w:val="es-419"/>
              </w:rPr>
              <w:t>2</w:t>
            </w:r>
          </w:p>
        </w:tc>
        <w:tc>
          <w:tcPr>
            <w:tcW w:w="1199" w:type="dxa"/>
            <w:vAlign w:val="center"/>
          </w:tcPr>
          <w:p w14:paraId="7E518175"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vAlign w:val="center"/>
          </w:tcPr>
          <w:p w14:paraId="17E05B25"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151554D0" w14:textId="77777777" w:rsidR="008C21D1" w:rsidRPr="003010FA" w:rsidRDefault="008C21D1" w:rsidP="008C21D1">
            <w:pPr>
              <w:jc w:val="center"/>
              <w:rPr>
                <w:rFonts w:cs="Arial"/>
                <w:szCs w:val="18"/>
                <w:lang w:val="es-419"/>
              </w:rPr>
            </w:pPr>
            <w:r w:rsidRPr="003010FA">
              <w:rPr>
                <w:rFonts w:cs="Arial"/>
                <w:szCs w:val="18"/>
                <w:lang w:val="es-419"/>
              </w:rPr>
              <w:t>11</w:t>
            </w:r>
          </w:p>
        </w:tc>
        <w:tc>
          <w:tcPr>
            <w:tcW w:w="567" w:type="dxa"/>
            <w:vAlign w:val="center"/>
          </w:tcPr>
          <w:p w14:paraId="6E637624" w14:textId="77777777" w:rsidR="008C21D1" w:rsidRPr="003010FA" w:rsidRDefault="008C21D1" w:rsidP="008C21D1">
            <w:pPr>
              <w:jc w:val="center"/>
              <w:rPr>
                <w:rFonts w:cs="Arial"/>
                <w:szCs w:val="18"/>
                <w:lang w:val="es-419"/>
              </w:rPr>
            </w:pPr>
            <w:r w:rsidRPr="003010FA">
              <w:rPr>
                <w:rFonts w:cs="Arial"/>
                <w:szCs w:val="18"/>
                <w:lang w:val="es-419"/>
              </w:rPr>
              <w:t>14</w:t>
            </w:r>
          </w:p>
        </w:tc>
        <w:tc>
          <w:tcPr>
            <w:tcW w:w="1186" w:type="dxa"/>
            <w:vAlign w:val="center"/>
          </w:tcPr>
          <w:p w14:paraId="78B84753"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vAlign w:val="center"/>
          </w:tcPr>
          <w:p w14:paraId="50952BEB"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05C2BE73"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4F166276" w14:textId="77777777" w:rsidTr="008C21D1">
        <w:tc>
          <w:tcPr>
            <w:tcW w:w="567" w:type="dxa"/>
            <w:vAlign w:val="center"/>
          </w:tcPr>
          <w:p w14:paraId="76555C7F" w14:textId="77777777" w:rsidR="008C21D1" w:rsidRPr="003010FA" w:rsidRDefault="008C21D1" w:rsidP="008C21D1">
            <w:pPr>
              <w:jc w:val="center"/>
              <w:rPr>
                <w:rFonts w:cs="Arial"/>
                <w:szCs w:val="18"/>
                <w:lang w:val="es-419"/>
              </w:rPr>
            </w:pPr>
            <w:r w:rsidRPr="003010FA">
              <w:rPr>
                <w:rFonts w:cs="Arial"/>
                <w:szCs w:val="18"/>
                <w:lang w:val="es-419"/>
              </w:rPr>
              <w:t>3</w:t>
            </w:r>
          </w:p>
        </w:tc>
        <w:tc>
          <w:tcPr>
            <w:tcW w:w="1199" w:type="dxa"/>
            <w:vAlign w:val="center"/>
          </w:tcPr>
          <w:p w14:paraId="43CA632E"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vAlign w:val="center"/>
          </w:tcPr>
          <w:p w14:paraId="464BBD0B"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62A026F6" w14:textId="77777777" w:rsidR="008C21D1" w:rsidRPr="003010FA" w:rsidRDefault="008C21D1" w:rsidP="008C21D1">
            <w:pPr>
              <w:jc w:val="center"/>
              <w:rPr>
                <w:rFonts w:cs="Arial"/>
                <w:szCs w:val="18"/>
                <w:lang w:val="es-419"/>
              </w:rPr>
            </w:pPr>
            <w:r w:rsidRPr="003010FA">
              <w:rPr>
                <w:rFonts w:cs="Arial"/>
                <w:szCs w:val="18"/>
                <w:lang w:val="es-419"/>
              </w:rPr>
              <w:t>11</w:t>
            </w:r>
          </w:p>
        </w:tc>
        <w:tc>
          <w:tcPr>
            <w:tcW w:w="567" w:type="dxa"/>
            <w:vAlign w:val="center"/>
          </w:tcPr>
          <w:p w14:paraId="35038EA6" w14:textId="77777777" w:rsidR="008C21D1" w:rsidRPr="003010FA" w:rsidRDefault="008C21D1" w:rsidP="008C21D1">
            <w:pPr>
              <w:jc w:val="center"/>
              <w:rPr>
                <w:rFonts w:cs="Arial"/>
                <w:szCs w:val="18"/>
                <w:lang w:val="es-419"/>
              </w:rPr>
            </w:pPr>
            <w:r w:rsidRPr="003010FA">
              <w:rPr>
                <w:rFonts w:cs="Arial"/>
                <w:szCs w:val="18"/>
                <w:lang w:val="es-419"/>
              </w:rPr>
              <w:t>15</w:t>
            </w:r>
          </w:p>
        </w:tc>
        <w:tc>
          <w:tcPr>
            <w:tcW w:w="1186" w:type="dxa"/>
            <w:vAlign w:val="center"/>
          </w:tcPr>
          <w:p w14:paraId="648443A1"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vAlign w:val="center"/>
          </w:tcPr>
          <w:p w14:paraId="412362B6"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058EB730" w14:textId="77777777" w:rsidR="008C21D1" w:rsidRPr="003010FA" w:rsidRDefault="008C21D1" w:rsidP="008C21D1">
            <w:pPr>
              <w:jc w:val="center"/>
              <w:rPr>
                <w:rFonts w:cs="Arial"/>
                <w:szCs w:val="18"/>
                <w:lang w:val="es-419"/>
              </w:rPr>
            </w:pPr>
            <w:r w:rsidRPr="003010FA">
              <w:rPr>
                <w:rFonts w:cs="Arial"/>
                <w:szCs w:val="18"/>
                <w:lang w:val="es-419"/>
              </w:rPr>
              <w:t>5</w:t>
            </w:r>
          </w:p>
        </w:tc>
      </w:tr>
      <w:tr w:rsidR="008C21D1" w:rsidRPr="003010FA" w14:paraId="00BD421A" w14:textId="77777777" w:rsidTr="008C21D1">
        <w:tc>
          <w:tcPr>
            <w:tcW w:w="567" w:type="dxa"/>
            <w:vAlign w:val="center"/>
          </w:tcPr>
          <w:p w14:paraId="28CC2149" w14:textId="77777777" w:rsidR="008C21D1" w:rsidRPr="003010FA" w:rsidRDefault="008C21D1" w:rsidP="008C21D1">
            <w:pPr>
              <w:jc w:val="center"/>
              <w:rPr>
                <w:rFonts w:cs="Arial"/>
                <w:szCs w:val="18"/>
                <w:lang w:val="es-419"/>
              </w:rPr>
            </w:pPr>
            <w:r w:rsidRPr="003010FA">
              <w:rPr>
                <w:rFonts w:cs="Arial"/>
                <w:szCs w:val="18"/>
                <w:lang w:val="es-419"/>
              </w:rPr>
              <w:t>4</w:t>
            </w:r>
          </w:p>
        </w:tc>
        <w:tc>
          <w:tcPr>
            <w:tcW w:w="1199" w:type="dxa"/>
            <w:vAlign w:val="center"/>
          </w:tcPr>
          <w:p w14:paraId="3A25ADE2"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vAlign w:val="center"/>
          </w:tcPr>
          <w:p w14:paraId="528C9210"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75CC5D48"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3C237B75" w14:textId="77777777" w:rsidR="008C21D1" w:rsidRPr="003010FA" w:rsidRDefault="008C21D1" w:rsidP="008C21D1">
            <w:pPr>
              <w:jc w:val="center"/>
              <w:rPr>
                <w:rFonts w:cs="Arial"/>
                <w:szCs w:val="18"/>
                <w:lang w:val="es-419"/>
              </w:rPr>
            </w:pPr>
            <w:r w:rsidRPr="003010FA">
              <w:rPr>
                <w:rFonts w:cs="Arial"/>
                <w:szCs w:val="18"/>
                <w:lang w:val="es-419"/>
              </w:rPr>
              <w:t>16</w:t>
            </w:r>
          </w:p>
        </w:tc>
        <w:tc>
          <w:tcPr>
            <w:tcW w:w="1186" w:type="dxa"/>
            <w:vAlign w:val="center"/>
          </w:tcPr>
          <w:p w14:paraId="38440B59"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vAlign w:val="center"/>
          </w:tcPr>
          <w:p w14:paraId="257438FD"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76BB0BB6" w14:textId="77777777" w:rsidR="008C21D1" w:rsidRPr="003010FA" w:rsidRDefault="008C21D1" w:rsidP="008C21D1">
            <w:pPr>
              <w:jc w:val="center"/>
              <w:rPr>
                <w:rFonts w:cs="Arial"/>
                <w:szCs w:val="18"/>
                <w:lang w:val="es-419"/>
              </w:rPr>
            </w:pPr>
            <w:r w:rsidRPr="003010FA">
              <w:rPr>
                <w:rFonts w:cs="Arial"/>
                <w:szCs w:val="18"/>
                <w:lang w:val="es-419"/>
              </w:rPr>
              <w:t>5</w:t>
            </w:r>
          </w:p>
        </w:tc>
      </w:tr>
      <w:tr w:rsidR="008C21D1" w:rsidRPr="003010FA" w14:paraId="72AE5FF7" w14:textId="77777777" w:rsidTr="008C21D1">
        <w:tc>
          <w:tcPr>
            <w:tcW w:w="567" w:type="dxa"/>
            <w:vAlign w:val="center"/>
          </w:tcPr>
          <w:p w14:paraId="779D9205" w14:textId="77777777" w:rsidR="008C21D1" w:rsidRPr="003010FA" w:rsidRDefault="008C21D1" w:rsidP="008C21D1">
            <w:pPr>
              <w:jc w:val="center"/>
              <w:rPr>
                <w:rFonts w:cs="Arial"/>
                <w:szCs w:val="18"/>
                <w:lang w:val="es-419"/>
              </w:rPr>
            </w:pPr>
            <w:r w:rsidRPr="003010FA">
              <w:rPr>
                <w:rFonts w:cs="Arial"/>
                <w:szCs w:val="18"/>
                <w:lang w:val="es-419"/>
              </w:rPr>
              <w:t>5</w:t>
            </w:r>
          </w:p>
        </w:tc>
        <w:tc>
          <w:tcPr>
            <w:tcW w:w="1199" w:type="dxa"/>
            <w:vAlign w:val="center"/>
          </w:tcPr>
          <w:p w14:paraId="72F7BAF5"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vAlign w:val="center"/>
          </w:tcPr>
          <w:p w14:paraId="24CC3906"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49B463EF" w14:textId="77777777" w:rsidR="008C21D1" w:rsidRPr="003010FA" w:rsidRDefault="008C21D1" w:rsidP="008C21D1">
            <w:pPr>
              <w:jc w:val="center"/>
              <w:rPr>
                <w:rFonts w:cs="Arial"/>
                <w:szCs w:val="18"/>
                <w:lang w:val="es-419"/>
              </w:rPr>
            </w:pPr>
            <w:r w:rsidRPr="003010FA">
              <w:rPr>
                <w:rFonts w:cs="Arial"/>
                <w:szCs w:val="18"/>
                <w:lang w:val="es-419"/>
              </w:rPr>
              <w:t>11</w:t>
            </w:r>
          </w:p>
        </w:tc>
        <w:tc>
          <w:tcPr>
            <w:tcW w:w="567" w:type="dxa"/>
            <w:vAlign w:val="center"/>
          </w:tcPr>
          <w:p w14:paraId="286AAFFA" w14:textId="77777777" w:rsidR="008C21D1" w:rsidRPr="003010FA" w:rsidRDefault="008C21D1" w:rsidP="008C21D1">
            <w:pPr>
              <w:jc w:val="center"/>
              <w:rPr>
                <w:rFonts w:cs="Arial"/>
                <w:szCs w:val="18"/>
                <w:lang w:val="es-419"/>
              </w:rPr>
            </w:pPr>
            <w:r w:rsidRPr="003010FA">
              <w:rPr>
                <w:rFonts w:cs="Arial"/>
                <w:szCs w:val="18"/>
                <w:lang w:val="es-419"/>
              </w:rPr>
              <w:t>17</w:t>
            </w:r>
          </w:p>
        </w:tc>
        <w:tc>
          <w:tcPr>
            <w:tcW w:w="1186" w:type="dxa"/>
            <w:vAlign w:val="center"/>
          </w:tcPr>
          <w:p w14:paraId="1FEDCFBB"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vAlign w:val="center"/>
          </w:tcPr>
          <w:p w14:paraId="0146FE79"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1B9D0AA7"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73635456" w14:textId="77777777" w:rsidTr="008C21D1">
        <w:tc>
          <w:tcPr>
            <w:tcW w:w="567" w:type="dxa"/>
            <w:vAlign w:val="center"/>
          </w:tcPr>
          <w:p w14:paraId="26A46E05" w14:textId="77777777" w:rsidR="008C21D1" w:rsidRPr="003010FA" w:rsidRDefault="008C21D1" w:rsidP="008C21D1">
            <w:pPr>
              <w:jc w:val="center"/>
              <w:rPr>
                <w:rFonts w:cs="Arial"/>
                <w:szCs w:val="18"/>
                <w:lang w:val="es-419"/>
              </w:rPr>
            </w:pPr>
            <w:r w:rsidRPr="003010FA">
              <w:rPr>
                <w:rFonts w:cs="Arial"/>
                <w:szCs w:val="18"/>
                <w:lang w:val="es-419"/>
              </w:rPr>
              <w:t>6</w:t>
            </w:r>
          </w:p>
        </w:tc>
        <w:tc>
          <w:tcPr>
            <w:tcW w:w="1199" w:type="dxa"/>
            <w:vAlign w:val="center"/>
          </w:tcPr>
          <w:p w14:paraId="0D1D8B9D"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vAlign w:val="center"/>
          </w:tcPr>
          <w:p w14:paraId="4181B8B0"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289709B0"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455B5EEF" w14:textId="77777777" w:rsidR="008C21D1" w:rsidRPr="003010FA" w:rsidRDefault="008C21D1" w:rsidP="008C21D1">
            <w:pPr>
              <w:jc w:val="center"/>
              <w:rPr>
                <w:rFonts w:cs="Arial"/>
                <w:szCs w:val="18"/>
                <w:lang w:val="es-419"/>
              </w:rPr>
            </w:pPr>
            <w:r w:rsidRPr="003010FA">
              <w:rPr>
                <w:rFonts w:cs="Arial"/>
                <w:szCs w:val="18"/>
                <w:lang w:val="es-419"/>
              </w:rPr>
              <w:t>18</w:t>
            </w:r>
          </w:p>
        </w:tc>
        <w:tc>
          <w:tcPr>
            <w:tcW w:w="1186" w:type="dxa"/>
            <w:vAlign w:val="center"/>
          </w:tcPr>
          <w:p w14:paraId="5D55C0ED"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vAlign w:val="center"/>
          </w:tcPr>
          <w:p w14:paraId="3DD73697"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04560751"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103C3CB7" w14:textId="77777777" w:rsidTr="008C21D1">
        <w:tc>
          <w:tcPr>
            <w:tcW w:w="567" w:type="dxa"/>
            <w:vAlign w:val="center"/>
          </w:tcPr>
          <w:p w14:paraId="44A763FF" w14:textId="77777777" w:rsidR="008C21D1" w:rsidRPr="003010FA" w:rsidRDefault="008C21D1" w:rsidP="008C21D1">
            <w:pPr>
              <w:jc w:val="center"/>
              <w:rPr>
                <w:rFonts w:cs="Arial"/>
                <w:szCs w:val="18"/>
                <w:lang w:val="es-419"/>
              </w:rPr>
            </w:pPr>
            <w:r w:rsidRPr="003010FA">
              <w:rPr>
                <w:rFonts w:cs="Arial"/>
                <w:szCs w:val="18"/>
                <w:lang w:val="es-419"/>
              </w:rPr>
              <w:t>7</w:t>
            </w:r>
          </w:p>
        </w:tc>
        <w:tc>
          <w:tcPr>
            <w:tcW w:w="1199" w:type="dxa"/>
            <w:vAlign w:val="center"/>
          </w:tcPr>
          <w:p w14:paraId="64B4181C"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vAlign w:val="center"/>
          </w:tcPr>
          <w:p w14:paraId="6C0DC848"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67C95163"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31443E13" w14:textId="77777777" w:rsidR="008C21D1" w:rsidRPr="003010FA" w:rsidRDefault="008C21D1" w:rsidP="008C21D1">
            <w:pPr>
              <w:jc w:val="center"/>
              <w:rPr>
                <w:rFonts w:cs="Arial"/>
                <w:szCs w:val="18"/>
                <w:lang w:val="es-419"/>
              </w:rPr>
            </w:pPr>
            <w:r w:rsidRPr="003010FA">
              <w:rPr>
                <w:rFonts w:cs="Arial"/>
                <w:szCs w:val="18"/>
                <w:lang w:val="es-419"/>
              </w:rPr>
              <w:t>19</w:t>
            </w:r>
          </w:p>
        </w:tc>
        <w:tc>
          <w:tcPr>
            <w:tcW w:w="1186" w:type="dxa"/>
            <w:vAlign w:val="center"/>
          </w:tcPr>
          <w:p w14:paraId="220E2317"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vAlign w:val="center"/>
          </w:tcPr>
          <w:p w14:paraId="1364E813"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2127D5A7"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4E199B2D" w14:textId="77777777" w:rsidTr="008C21D1">
        <w:tc>
          <w:tcPr>
            <w:tcW w:w="567" w:type="dxa"/>
            <w:vAlign w:val="center"/>
          </w:tcPr>
          <w:p w14:paraId="71F1F22C" w14:textId="77777777" w:rsidR="008C21D1" w:rsidRPr="003010FA" w:rsidRDefault="008C21D1" w:rsidP="008C21D1">
            <w:pPr>
              <w:jc w:val="center"/>
              <w:rPr>
                <w:rFonts w:cs="Arial"/>
                <w:szCs w:val="18"/>
                <w:lang w:val="es-419"/>
              </w:rPr>
            </w:pPr>
            <w:r w:rsidRPr="003010FA">
              <w:rPr>
                <w:rFonts w:cs="Arial"/>
                <w:szCs w:val="18"/>
                <w:lang w:val="es-419"/>
              </w:rPr>
              <w:t>8</w:t>
            </w:r>
          </w:p>
        </w:tc>
        <w:tc>
          <w:tcPr>
            <w:tcW w:w="1199" w:type="dxa"/>
            <w:vAlign w:val="center"/>
          </w:tcPr>
          <w:p w14:paraId="69E47CF1"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vAlign w:val="center"/>
          </w:tcPr>
          <w:p w14:paraId="7D9A063C"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18EE2017"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0251C23D" w14:textId="77777777" w:rsidR="008C21D1" w:rsidRPr="003010FA" w:rsidRDefault="008C21D1" w:rsidP="008C21D1">
            <w:pPr>
              <w:jc w:val="center"/>
              <w:rPr>
                <w:rFonts w:cs="Arial"/>
                <w:szCs w:val="18"/>
                <w:lang w:val="es-419"/>
              </w:rPr>
            </w:pPr>
            <w:r w:rsidRPr="003010FA">
              <w:rPr>
                <w:rFonts w:cs="Arial"/>
                <w:szCs w:val="18"/>
                <w:lang w:val="es-419"/>
              </w:rPr>
              <w:t>20</w:t>
            </w:r>
          </w:p>
        </w:tc>
        <w:tc>
          <w:tcPr>
            <w:tcW w:w="1186" w:type="dxa"/>
            <w:vAlign w:val="center"/>
          </w:tcPr>
          <w:p w14:paraId="15955443"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vAlign w:val="center"/>
          </w:tcPr>
          <w:p w14:paraId="1CCE475D"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30948E08"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780187EB" w14:textId="77777777" w:rsidTr="008C21D1">
        <w:tc>
          <w:tcPr>
            <w:tcW w:w="567" w:type="dxa"/>
            <w:vAlign w:val="center"/>
          </w:tcPr>
          <w:p w14:paraId="4762F81F" w14:textId="77777777" w:rsidR="008C21D1" w:rsidRPr="003010FA" w:rsidRDefault="008C21D1" w:rsidP="008C21D1">
            <w:pPr>
              <w:jc w:val="center"/>
              <w:rPr>
                <w:rFonts w:cs="Arial"/>
                <w:szCs w:val="18"/>
                <w:lang w:val="es-419"/>
              </w:rPr>
            </w:pPr>
            <w:r w:rsidRPr="003010FA">
              <w:rPr>
                <w:rFonts w:cs="Arial"/>
                <w:szCs w:val="18"/>
                <w:lang w:val="es-419"/>
              </w:rPr>
              <w:t>9</w:t>
            </w:r>
          </w:p>
        </w:tc>
        <w:tc>
          <w:tcPr>
            <w:tcW w:w="1199" w:type="dxa"/>
            <w:vAlign w:val="center"/>
          </w:tcPr>
          <w:p w14:paraId="3AD590E2"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vAlign w:val="center"/>
          </w:tcPr>
          <w:p w14:paraId="2E23FCDA"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35A80D5D"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0B157E48" w14:textId="77777777" w:rsidR="008C21D1" w:rsidRPr="003010FA" w:rsidRDefault="008C21D1" w:rsidP="008C21D1">
            <w:pPr>
              <w:jc w:val="center"/>
              <w:rPr>
                <w:rFonts w:cs="Arial"/>
                <w:szCs w:val="18"/>
                <w:lang w:val="es-419"/>
              </w:rPr>
            </w:pPr>
            <w:r w:rsidRPr="003010FA">
              <w:rPr>
                <w:rFonts w:cs="Arial"/>
                <w:szCs w:val="18"/>
                <w:lang w:val="es-419"/>
              </w:rPr>
              <w:t>21</w:t>
            </w:r>
          </w:p>
        </w:tc>
        <w:tc>
          <w:tcPr>
            <w:tcW w:w="1186" w:type="dxa"/>
            <w:vAlign w:val="center"/>
          </w:tcPr>
          <w:p w14:paraId="529A4D4C"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vAlign w:val="center"/>
          </w:tcPr>
          <w:p w14:paraId="04943ED8"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463B9CF7" w14:textId="77777777" w:rsidR="008C21D1" w:rsidRPr="003010FA" w:rsidRDefault="008C21D1" w:rsidP="008C21D1">
            <w:pPr>
              <w:jc w:val="center"/>
              <w:rPr>
                <w:rFonts w:cs="Arial"/>
                <w:szCs w:val="18"/>
                <w:lang w:val="es-419"/>
              </w:rPr>
            </w:pPr>
            <w:r w:rsidRPr="003010FA">
              <w:rPr>
                <w:rFonts w:cs="Arial"/>
                <w:szCs w:val="18"/>
                <w:lang w:val="es-419"/>
              </w:rPr>
              <w:t>5</w:t>
            </w:r>
          </w:p>
        </w:tc>
      </w:tr>
      <w:tr w:rsidR="008C21D1" w:rsidRPr="003010FA" w14:paraId="2F845EA9" w14:textId="77777777" w:rsidTr="008C21D1">
        <w:tc>
          <w:tcPr>
            <w:tcW w:w="567" w:type="dxa"/>
            <w:vAlign w:val="center"/>
          </w:tcPr>
          <w:p w14:paraId="6DC83A8E" w14:textId="77777777" w:rsidR="008C21D1" w:rsidRPr="003010FA" w:rsidRDefault="008C21D1" w:rsidP="008C21D1">
            <w:pPr>
              <w:jc w:val="center"/>
              <w:rPr>
                <w:rFonts w:cs="Arial"/>
                <w:szCs w:val="18"/>
                <w:lang w:val="es-419"/>
              </w:rPr>
            </w:pPr>
            <w:r w:rsidRPr="003010FA">
              <w:rPr>
                <w:rFonts w:cs="Arial"/>
                <w:szCs w:val="18"/>
                <w:lang w:val="es-419"/>
              </w:rPr>
              <w:t>10</w:t>
            </w:r>
          </w:p>
        </w:tc>
        <w:tc>
          <w:tcPr>
            <w:tcW w:w="1199" w:type="dxa"/>
            <w:vAlign w:val="center"/>
          </w:tcPr>
          <w:p w14:paraId="357B40EA" w14:textId="77777777" w:rsidR="008C21D1" w:rsidRPr="003010FA" w:rsidRDefault="008C21D1" w:rsidP="008C21D1">
            <w:pPr>
              <w:jc w:val="center"/>
              <w:rPr>
                <w:rFonts w:cs="Arial"/>
                <w:szCs w:val="18"/>
                <w:lang w:val="es-419"/>
              </w:rPr>
            </w:pPr>
            <w:r w:rsidRPr="003010FA">
              <w:rPr>
                <w:rFonts w:cs="Arial"/>
                <w:szCs w:val="18"/>
                <w:lang w:val="es-419"/>
              </w:rPr>
              <w:t>90</w:t>
            </w:r>
          </w:p>
        </w:tc>
        <w:tc>
          <w:tcPr>
            <w:tcW w:w="467" w:type="dxa"/>
            <w:vAlign w:val="center"/>
          </w:tcPr>
          <w:p w14:paraId="54761711"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515FBAA5" w14:textId="77777777" w:rsidR="008C21D1" w:rsidRPr="003010FA" w:rsidRDefault="008C21D1" w:rsidP="008C21D1">
            <w:pPr>
              <w:jc w:val="center"/>
              <w:rPr>
                <w:rFonts w:cs="Arial"/>
                <w:szCs w:val="18"/>
                <w:lang w:val="es-419"/>
              </w:rPr>
            </w:pPr>
            <w:r w:rsidRPr="003010FA">
              <w:rPr>
                <w:rFonts w:cs="Arial"/>
                <w:szCs w:val="18"/>
                <w:lang w:val="es-419"/>
              </w:rPr>
              <w:t>5</w:t>
            </w:r>
          </w:p>
        </w:tc>
        <w:tc>
          <w:tcPr>
            <w:tcW w:w="567" w:type="dxa"/>
            <w:vAlign w:val="center"/>
          </w:tcPr>
          <w:p w14:paraId="6088331E" w14:textId="77777777" w:rsidR="008C21D1" w:rsidRPr="003010FA" w:rsidRDefault="008C21D1" w:rsidP="008C21D1">
            <w:pPr>
              <w:jc w:val="center"/>
              <w:rPr>
                <w:rFonts w:cs="Arial"/>
                <w:szCs w:val="18"/>
                <w:lang w:val="es-419"/>
              </w:rPr>
            </w:pPr>
            <w:r w:rsidRPr="003010FA">
              <w:rPr>
                <w:rFonts w:cs="Arial"/>
                <w:szCs w:val="18"/>
                <w:lang w:val="es-419"/>
              </w:rPr>
              <w:t>22</w:t>
            </w:r>
          </w:p>
        </w:tc>
        <w:tc>
          <w:tcPr>
            <w:tcW w:w="1186" w:type="dxa"/>
            <w:vAlign w:val="center"/>
          </w:tcPr>
          <w:p w14:paraId="641DE44E"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vAlign w:val="center"/>
          </w:tcPr>
          <w:p w14:paraId="69CC7F71"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vAlign w:val="center"/>
          </w:tcPr>
          <w:p w14:paraId="6541FC99" w14:textId="77777777" w:rsidR="008C21D1" w:rsidRPr="003010FA" w:rsidRDefault="008C21D1" w:rsidP="008C21D1">
            <w:pPr>
              <w:jc w:val="center"/>
              <w:rPr>
                <w:rFonts w:cs="Arial"/>
                <w:szCs w:val="18"/>
                <w:lang w:val="es-419"/>
              </w:rPr>
            </w:pPr>
            <w:r w:rsidRPr="003010FA">
              <w:rPr>
                <w:rFonts w:cs="Arial"/>
                <w:szCs w:val="18"/>
                <w:lang w:val="es-419"/>
              </w:rPr>
              <w:t>11</w:t>
            </w:r>
          </w:p>
        </w:tc>
      </w:tr>
      <w:tr w:rsidR="008C21D1" w:rsidRPr="003010FA" w14:paraId="28B0FFB9" w14:textId="77777777" w:rsidTr="008C21D1">
        <w:tc>
          <w:tcPr>
            <w:tcW w:w="567" w:type="dxa"/>
            <w:vAlign w:val="center"/>
          </w:tcPr>
          <w:p w14:paraId="04305483" w14:textId="77777777" w:rsidR="008C21D1" w:rsidRPr="003010FA" w:rsidRDefault="008C21D1" w:rsidP="008C21D1">
            <w:pPr>
              <w:jc w:val="center"/>
              <w:rPr>
                <w:rFonts w:cs="Arial"/>
                <w:szCs w:val="18"/>
                <w:lang w:val="es-419"/>
              </w:rPr>
            </w:pPr>
            <w:r w:rsidRPr="003010FA">
              <w:rPr>
                <w:rFonts w:cs="Arial"/>
                <w:szCs w:val="18"/>
                <w:lang w:val="es-419"/>
              </w:rPr>
              <w:t>11</w:t>
            </w:r>
          </w:p>
        </w:tc>
        <w:tc>
          <w:tcPr>
            <w:tcW w:w="1199" w:type="dxa"/>
            <w:vAlign w:val="center"/>
          </w:tcPr>
          <w:p w14:paraId="4D26D445"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vAlign w:val="center"/>
          </w:tcPr>
          <w:p w14:paraId="65AA3B1F"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4EAB0F38" w14:textId="77777777" w:rsidR="008C21D1" w:rsidRPr="003010FA" w:rsidRDefault="008C21D1" w:rsidP="008C21D1">
            <w:pPr>
              <w:jc w:val="center"/>
              <w:rPr>
                <w:rFonts w:cs="Arial"/>
                <w:szCs w:val="18"/>
                <w:lang w:val="es-419"/>
              </w:rPr>
            </w:pPr>
            <w:r w:rsidRPr="003010FA">
              <w:rPr>
                <w:rFonts w:cs="Arial"/>
                <w:szCs w:val="18"/>
                <w:lang w:val="es-419"/>
              </w:rPr>
              <w:t>11</w:t>
            </w:r>
          </w:p>
        </w:tc>
        <w:tc>
          <w:tcPr>
            <w:tcW w:w="567" w:type="dxa"/>
            <w:vAlign w:val="center"/>
          </w:tcPr>
          <w:p w14:paraId="1373B3F5" w14:textId="77777777" w:rsidR="008C21D1" w:rsidRPr="003010FA" w:rsidRDefault="008C21D1" w:rsidP="008C21D1">
            <w:pPr>
              <w:jc w:val="center"/>
              <w:rPr>
                <w:rFonts w:cs="Arial"/>
                <w:szCs w:val="18"/>
                <w:lang w:val="es-419"/>
              </w:rPr>
            </w:pPr>
            <w:r w:rsidRPr="003010FA">
              <w:rPr>
                <w:rFonts w:cs="Arial"/>
                <w:szCs w:val="18"/>
                <w:lang w:val="es-419"/>
              </w:rPr>
              <w:t>23</w:t>
            </w:r>
          </w:p>
        </w:tc>
        <w:tc>
          <w:tcPr>
            <w:tcW w:w="1186" w:type="dxa"/>
            <w:vAlign w:val="center"/>
          </w:tcPr>
          <w:p w14:paraId="58CB84F6" w14:textId="77777777" w:rsidR="008C21D1" w:rsidRPr="003010FA" w:rsidRDefault="008C21D1" w:rsidP="008C21D1">
            <w:pPr>
              <w:jc w:val="center"/>
              <w:rPr>
                <w:rFonts w:cs="Arial"/>
                <w:szCs w:val="18"/>
                <w:lang w:val="es-419"/>
              </w:rPr>
            </w:pPr>
            <w:r w:rsidRPr="003010FA">
              <w:rPr>
                <w:rFonts w:cs="Arial"/>
                <w:szCs w:val="18"/>
                <w:lang w:val="es-419"/>
              </w:rPr>
              <w:t>90</w:t>
            </w:r>
          </w:p>
        </w:tc>
        <w:tc>
          <w:tcPr>
            <w:tcW w:w="985" w:type="dxa"/>
            <w:vAlign w:val="center"/>
          </w:tcPr>
          <w:p w14:paraId="12B8ABBC" w14:textId="77777777" w:rsidR="008C21D1" w:rsidRPr="003010FA" w:rsidRDefault="008C21D1" w:rsidP="008C21D1">
            <w:pPr>
              <w:jc w:val="center"/>
              <w:rPr>
                <w:rFonts w:cs="Arial"/>
                <w:szCs w:val="18"/>
                <w:lang w:val="es-419"/>
              </w:rPr>
            </w:pPr>
            <w:r w:rsidRPr="003010FA">
              <w:rPr>
                <w:rFonts w:cs="Arial"/>
                <w:szCs w:val="18"/>
                <w:lang w:val="es-419"/>
              </w:rPr>
              <w:t>4.5</w:t>
            </w:r>
          </w:p>
        </w:tc>
        <w:tc>
          <w:tcPr>
            <w:tcW w:w="1117" w:type="dxa"/>
            <w:vAlign w:val="center"/>
          </w:tcPr>
          <w:p w14:paraId="51A10105" w14:textId="77777777" w:rsidR="008C21D1" w:rsidRPr="003010FA" w:rsidRDefault="008C21D1" w:rsidP="008C21D1">
            <w:pPr>
              <w:jc w:val="center"/>
              <w:rPr>
                <w:rFonts w:cs="Arial"/>
                <w:szCs w:val="18"/>
                <w:lang w:val="es-419"/>
              </w:rPr>
            </w:pPr>
            <w:r w:rsidRPr="003010FA">
              <w:rPr>
                <w:rFonts w:cs="Arial"/>
                <w:szCs w:val="18"/>
                <w:lang w:val="es-419"/>
              </w:rPr>
              <w:t>5</w:t>
            </w:r>
          </w:p>
        </w:tc>
      </w:tr>
      <w:tr w:rsidR="008C21D1" w:rsidRPr="003010FA" w14:paraId="11162A3D" w14:textId="77777777" w:rsidTr="008C21D1">
        <w:tc>
          <w:tcPr>
            <w:tcW w:w="567" w:type="dxa"/>
            <w:tcBorders>
              <w:bottom w:val="single" w:sz="12" w:space="0" w:color="008000"/>
            </w:tcBorders>
            <w:vAlign w:val="center"/>
          </w:tcPr>
          <w:p w14:paraId="294F2D0E" w14:textId="77777777" w:rsidR="008C21D1" w:rsidRPr="003010FA" w:rsidRDefault="008C21D1" w:rsidP="008C21D1">
            <w:pPr>
              <w:jc w:val="center"/>
              <w:rPr>
                <w:rFonts w:cs="Arial"/>
                <w:szCs w:val="18"/>
                <w:lang w:val="es-419"/>
              </w:rPr>
            </w:pPr>
            <w:r w:rsidRPr="003010FA">
              <w:rPr>
                <w:rFonts w:cs="Arial"/>
                <w:szCs w:val="18"/>
                <w:lang w:val="es-419"/>
              </w:rPr>
              <w:t>12</w:t>
            </w:r>
          </w:p>
        </w:tc>
        <w:tc>
          <w:tcPr>
            <w:tcW w:w="1199" w:type="dxa"/>
            <w:tcBorders>
              <w:bottom w:val="single" w:sz="12" w:space="0" w:color="008000"/>
            </w:tcBorders>
            <w:vAlign w:val="center"/>
          </w:tcPr>
          <w:p w14:paraId="5D804B8D" w14:textId="77777777" w:rsidR="008C21D1" w:rsidRPr="003010FA" w:rsidRDefault="008C21D1" w:rsidP="008C21D1">
            <w:pPr>
              <w:jc w:val="center"/>
              <w:rPr>
                <w:rFonts w:cs="Arial"/>
                <w:szCs w:val="18"/>
                <w:lang w:val="es-419"/>
              </w:rPr>
            </w:pPr>
            <w:r w:rsidRPr="003010FA">
              <w:rPr>
                <w:rFonts w:cs="Arial"/>
                <w:szCs w:val="18"/>
                <w:lang w:val="es-419"/>
              </w:rPr>
              <w:t>70</w:t>
            </w:r>
          </w:p>
        </w:tc>
        <w:tc>
          <w:tcPr>
            <w:tcW w:w="467" w:type="dxa"/>
            <w:tcBorders>
              <w:bottom w:val="single" w:sz="12" w:space="0" w:color="008000"/>
            </w:tcBorders>
            <w:vAlign w:val="center"/>
          </w:tcPr>
          <w:p w14:paraId="1DDF356B"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tcBorders>
              <w:bottom w:val="single" w:sz="12" w:space="0" w:color="008000"/>
            </w:tcBorders>
            <w:vAlign w:val="center"/>
          </w:tcPr>
          <w:p w14:paraId="17111181" w14:textId="77777777" w:rsidR="008C21D1" w:rsidRPr="003010FA" w:rsidRDefault="008C21D1" w:rsidP="008C21D1">
            <w:pPr>
              <w:jc w:val="center"/>
              <w:rPr>
                <w:rFonts w:cs="Arial"/>
                <w:szCs w:val="18"/>
                <w:lang w:val="es-419"/>
              </w:rPr>
            </w:pPr>
            <w:r w:rsidRPr="003010FA">
              <w:rPr>
                <w:rFonts w:cs="Arial"/>
                <w:szCs w:val="18"/>
                <w:lang w:val="es-419"/>
              </w:rPr>
              <w:t>11</w:t>
            </w:r>
          </w:p>
        </w:tc>
        <w:tc>
          <w:tcPr>
            <w:tcW w:w="567" w:type="dxa"/>
            <w:tcBorders>
              <w:bottom w:val="single" w:sz="12" w:space="0" w:color="008000"/>
            </w:tcBorders>
            <w:vAlign w:val="center"/>
          </w:tcPr>
          <w:p w14:paraId="04D94E38" w14:textId="77777777" w:rsidR="008C21D1" w:rsidRPr="003010FA" w:rsidRDefault="008C21D1" w:rsidP="008C21D1">
            <w:pPr>
              <w:jc w:val="center"/>
              <w:rPr>
                <w:rFonts w:cs="Arial"/>
                <w:szCs w:val="18"/>
                <w:lang w:val="es-419"/>
              </w:rPr>
            </w:pPr>
            <w:r w:rsidRPr="003010FA">
              <w:rPr>
                <w:rFonts w:cs="Arial"/>
                <w:szCs w:val="18"/>
                <w:lang w:val="es-419"/>
              </w:rPr>
              <w:t>24</w:t>
            </w:r>
          </w:p>
        </w:tc>
        <w:tc>
          <w:tcPr>
            <w:tcW w:w="1186" w:type="dxa"/>
            <w:tcBorders>
              <w:bottom w:val="single" w:sz="12" w:space="0" w:color="008000"/>
            </w:tcBorders>
            <w:vAlign w:val="center"/>
          </w:tcPr>
          <w:p w14:paraId="1F9A7158" w14:textId="77777777" w:rsidR="008C21D1" w:rsidRPr="003010FA" w:rsidRDefault="008C21D1" w:rsidP="008C21D1">
            <w:pPr>
              <w:jc w:val="center"/>
              <w:rPr>
                <w:rFonts w:cs="Arial"/>
                <w:szCs w:val="18"/>
                <w:lang w:val="es-419"/>
              </w:rPr>
            </w:pPr>
            <w:r w:rsidRPr="003010FA">
              <w:rPr>
                <w:rFonts w:cs="Arial"/>
                <w:szCs w:val="18"/>
                <w:lang w:val="es-419"/>
              </w:rPr>
              <w:t>70</w:t>
            </w:r>
          </w:p>
        </w:tc>
        <w:tc>
          <w:tcPr>
            <w:tcW w:w="985" w:type="dxa"/>
            <w:tcBorders>
              <w:bottom w:val="single" w:sz="12" w:space="0" w:color="008000"/>
            </w:tcBorders>
            <w:vAlign w:val="center"/>
          </w:tcPr>
          <w:p w14:paraId="02FAFCE3" w14:textId="77777777" w:rsidR="008C21D1" w:rsidRPr="003010FA" w:rsidRDefault="008C21D1" w:rsidP="008C21D1">
            <w:pPr>
              <w:jc w:val="center"/>
              <w:rPr>
                <w:rFonts w:cs="Arial"/>
                <w:szCs w:val="18"/>
                <w:lang w:val="es-419"/>
              </w:rPr>
            </w:pPr>
            <w:r w:rsidRPr="003010FA">
              <w:rPr>
                <w:rFonts w:cs="Arial"/>
                <w:szCs w:val="18"/>
                <w:lang w:val="es-419"/>
              </w:rPr>
              <w:t>2.5</w:t>
            </w:r>
          </w:p>
        </w:tc>
        <w:tc>
          <w:tcPr>
            <w:tcW w:w="1117" w:type="dxa"/>
            <w:tcBorders>
              <w:bottom w:val="single" w:sz="12" w:space="0" w:color="008000"/>
            </w:tcBorders>
            <w:vAlign w:val="center"/>
          </w:tcPr>
          <w:p w14:paraId="71C4419D" w14:textId="77777777" w:rsidR="008C21D1" w:rsidRPr="003010FA" w:rsidRDefault="008C21D1" w:rsidP="008C21D1">
            <w:pPr>
              <w:jc w:val="center"/>
              <w:rPr>
                <w:rFonts w:cs="Arial"/>
                <w:szCs w:val="18"/>
                <w:lang w:val="es-419"/>
              </w:rPr>
            </w:pPr>
            <w:r w:rsidRPr="003010FA">
              <w:rPr>
                <w:rFonts w:cs="Arial"/>
                <w:szCs w:val="18"/>
                <w:lang w:val="es-419"/>
              </w:rPr>
              <w:t>5</w:t>
            </w:r>
          </w:p>
        </w:tc>
      </w:tr>
    </w:tbl>
    <w:p w14:paraId="357EBA02" w14:textId="4D847199" w:rsidR="003A312B" w:rsidRPr="009B4414" w:rsidRDefault="004B1E5A" w:rsidP="0006382A">
      <w:pPr>
        <w:pStyle w:val="CETBodytext"/>
      </w:pPr>
      <w:r w:rsidRPr="009B4414">
        <w:rPr>
          <w:b/>
        </w:rPr>
        <w:lastRenderedPageBreak/>
        <w:t>*</w:t>
      </w:r>
      <w:r w:rsidR="006F670F" w:rsidRPr="009B4414">
        <w:t>The factorial design 2</w:t>
      </w:r>
      <w:r w:rsidR="006F670F" w:rsidRPr="009B4414">
        <w:rPr>
          <w:vertAlign w:val="superscript"/>
        </w:rPr>
        <w:t>3</w:t>
      </w:r>
      <w:r w:rsidR="006F670F" w:rsidRPr="009B4414">
        <w:t xml:space="preserve"> was applied in order to study the </w:t>
      </w:r>
      <w:r w:rsidRPr="00BE5413">
        <w:t>combined</w:t>
      </w:r>
      <w:r w:rsidRPr="009B4414">
        <w:rPr>
          <w:b/>
        </w:rPr>
        <w:t xml:space="preserve"> </w:t>
      </w:r>
      <w:r w:rsidR="006F670F" w:rsidRPr="009B4414">
        <w:t>effect of several factors (pH, temperature and concentration) on a single or more response variables, individually or combined. The design allows the identification of the conditions that improve the response variables</w:t>
      </w:r>
      <w:r w:rsidR="003A312B" w:rsidRPr="009B4414">
        <w:t>.</w:t>
      </w:r>
      <w:r w:rsidR="006F670F" w:rsidRPr="009B4414">
        <w:t xml:space="preserve"> </w:t>
      </w:r>
    </w:p>
    <w:p w14:paraId="6D6535EB" w14:textId="167CD1AC" w:rsidR="00162233" w:rsidRPr="00B57B36" w:rsidRDefault="00D43AF4" w:rsidP="0006382A">
      <w:pPr>
        <w:pStyle w:val="Estilo1"/>
        <w:numPr>
          <w:ilvl w:val="2"/>
          <w:numId w:val="1"/>
        </w:numPr>
      </w:pPr>
      <w:r>
        <w:t>Determination of f</w:t>
      </w:r>
      <w:r w:rsidRPr="00D43AF4">
        <w:t>erric antioxidant reducing power (FRAP)</w:t>
      </w:r>
    </w:p>
    <w:p w14:paraId="3FCE6E2B" w14:textId="67D33F90" w:rsidR="00162233" w:rsidRPr="005D7FE0" w:rsidRDefault="005D7FE0" w:rsidP="00600535">
      <w:pPr>
        <w:pStyle w:val="CETBodytext"/>
      </w:pPr>
      <w:r w:rsidRPr="005D7FE0">
        <w:t xml:space="preserve">The reducing power of the extracts was measured based on the technique reported by Vijayalakshmi and </w:t>
      </w:r>
      <w:proofErr w:type="spellStart"/>
      <w:r w:rsidRPr="005D7FE0">
        <w:t>Ruckmani</w:t>
      </w:r>
      <w:proofErr w:type="spellEnd"/>
      <w:r w:rsidRPr="005D7FE0">
        <w:t xml:space="preserve"> </w:t>
      </w:r>
      <w:r w:rsidR="005A3769">
        <w:fldChar w:fldCharType="begin" w:fldLock="1"/>
      </w:r>
      <w:r w:rsidR="00EE137C">
        <w:instrText>ADDIN CSL_CITATION {"citationItems":[{"id":"ITEM-1","itemData":{"DOI":"10.3329/bjp.v11i3.27663","ISSN":"19910088","abstract":"The ferric reducing anti-oxidant power (FRAP) assay involved the following steps: a) preparation of samples, b) reactions and c) finally measuring absorbance of sample and standard at 700 nm using spectrophotometer. The samples were methanolic extract, different fractions (n-hexane, chloroform) and standard ascorbic acid. The solutions prepared were buffer solution (pH 6.6), 1% potassium ferricyanide solution, 10% trichloroacetic acid and 0.1% ferric chloride.","author":[{"dropping-particle":"","family":"Vijayalakshmi","given":"Maruthamuthu","non-dropping-particle":"","parse-names":false,"suffix":""},{"dropping-particle":"","family":"Ruckmani","given":"Kandasamy","non-dropping-particle":"","parse-names":false,"suffix":""}],"container-title":"Bangladesh Journal of Pharmacology","id":"ITEM-1","issue":"3","issued":{"date-parts":[["2016"]]},"page":"570-572","title":"Ferric reducing anti-oxidant power assay in plant extract","type":"article-journal","volume":"11"},"uris":["http://www.mendeley.com/documents/?uuid=3a9517e7-2fc7-4c0f-938e-5e7630861c9f"]}],"mendeley":{"formattedCitation":"(Vijayalakshmi and Ruckmani, 2016)","manualFormatting":"(2016)","plainTextFormattedCitation":"(Vijayalakshmi and Ruckmani, 2016)","previouslyFormattedCitation":"(Vijayalakshmi and Ruckmani, 2016)"},"properties":{"noteIndex":0},"schema":"https://github.com/citation-style-language/schema/raw/master/csl-citation.json"}</w:instrText>
      </w:r>
      <w:r w:rsidR="005A3769">
        <w:fldChar w:fldCharType="separate"/>
      </w:r>
      <w:r w:rsidR="005A3769" w:rsidRPr="005A3769">
        <w:rPr>
          <w:noProof/>
        </w:rPr>
        <w:t>(2016)</w:t>
      </w:r>
      <w:r w:rsidR="005A3769">
        <w:fldChar w:fldCharType="end"/>
      </w:r>
      <w:r w:rsidRPr="005D7FE0">
        <w:t xml:space="preserve">, using a calibration curve from 0.001 to 1 mM/L ascorbic acid and the value was reported in mM/L FRAP by multiplying the value of the calibration curve by two. For this, 1 mL of the sample, 2.5 mL of phosphate buffer and 2.5 mL of 1% potassium ferricyanide were mixed, and incubated for 20 min in a water bath at 50°C. Then, 2.5 mL </w:t>
      </w:r>
      <w:r w:rsidRPr="006B08A0">
        <w:t xml:space="preserve">of 10% trichloroacetic acid was added and centrifuged for 10 min at 3000 rpm. Subsequently, 2.5 mL of the supernatant were added to 0.5 mL of 0.1% ferric chloride and then kept for 10 min. Finally, the sample was analyzed </w:t>
      </w:r>
      <w:r w:rsidR="00F4320B" w:rsidRPr="006B08A0">
        <w:t>by</w:t>
      </w:r>
      <w:r w:rsidRPr="006B08A0">
        <w:t xml:space="preserve"> UV-VIS at 700 nm, using distilled water as blank. The composition of the</w:t>
      </w:r>
      <w:r w:rsidR="00A56F4A" w:rsidRPr="006B08A0">
        <w:t xml:space="preserve"> </w:t>
      </w:r>
      <w:r w:rsidRPr="006B08A0">
        <w:t>phosphate buffer</w:t>
      </w:r>
      <w:r w:rsidR="00A56F4A" w:rsidRPr="006B08A0">
        <w:t xml:space="preserve"> </w:t>
      </w:r>
      <w:r w:rsidR="008B0AEA" w:rsidRPr="006B08A0">
        <w:t>was prepared at 0.2 M, and</w:t>
      </w:r>
      <w:r w:rsidRPr="006B08A0">
        <w:t xml:space="preserve"> pH 6.6 </w:t>
      </w:r>
      <w:r w:rsidR="008B0AEA" w:rsidRPr="006B08A0">
        <w:t xml:space="preserve"> with the following reagents </w:t>
      </w:r>
      <w:r w:rsidRPr="006B08A0">
        <w:t xml:space="preserve">(g/L): 8; NaCl, 0.2; </w:t>
      </w:r>
      <w:proofErr w:type="spellStart"/>
      <w:r w:rsidRPr="006B08A0">
        <w:t>KCl</w:t>
      </w:r>
      <w:proofErr w:type="spellEnd"/>
      <w:r w:rsidRPr="006B08A0">
        <w:t>, 1.44; Na</w:t>
      </w:r>
      <w:r w:rsidRPr="006B08A0">
        <w:rPr>
          <w:vertAlign w:val="subscript"/>
        </w:rPr>
        <w:t>2</w:t>
      </w:r>
      <w:r w:rsidRPr="006B08A0">
        <w:t>HPO</w:t>
      </w:r>
      <w:r w:rsidRPr="006B08A0">
        <w:rPr>
          <w:vertAlign w:val="subscript"/>
        </w:rPr>
        <w:t>4</w:t>
      </w:r>
      <w:r w:rsidRPr="006B08A0">
        <w:t>, 0.24; KH</w:t>
      </w:r>
      <w:r w:rsidRPr="006B08A0">
        <w:rPr>
          <w:vertAlign w:val="subscript"/>
        </w:rPr>
        <w:t>2</w:t>
      </w:r>
      <w:r w:rsidRPr="006B08A0">
        <w:t>PO</w:t>
      </w:r>
      <w:r w:rsidRPr="006B08A0">
        <w:rPr>
          <w:vertAlign w:val="subscript"/>
        </w:rPr>
        <w:t>4</w:t>
      </w:r>
      <w:r w:rsidRPr="006B08A0">
        <w:t xml:space="preserve"> </w:t>
      </w:r>
      <w:r w:rsidR="005A3769" w:rsidRPr="006B08A0">
        <w:fldChar w:fldCharType="begin" w:fldLock="1"/>
      </w:r>
      <w:r w:rsidR="00EE137C" w:rsidRPr="006B08A0">
        <w:instrText>ADDIN CSL_CITATION {"citationItems":[{"id":"ITEM-1","itemData":{"DOI":"10.3329/bjp.v11i3.27663","ISSN":"19910088","abstract":"The ferric reducing anti-oxidant power (FRAP) assay involved the following steps: a) preparation of samples, b) reactions and c) finally measuring absorbance of sample and standard at 700 nm using spectrophotometer. The samples were methanolic extract, different fractions (n-hexane, chloroform) and standard ascorbic acid. The solutions prepared were buffer solution (pH 6.6), 1% potassium ferricyanide solution, 10% trichloroacetic acid and 0.1% ferric chloride.","author":[{"dropping-particle":"","family":"Vijayalakshmi","given":"Maruthamuthu","non-dropping-particle":"","parse-names":false,"suffix":""},{"dropping-particle":"","family":"Ruckmani","given":"Kandasamy","non-dropping-particle":"","parse-names":false,"suffix":""}],"container-title":"Bangladesh Journal of Pharmacology","id":"ITEM-1","issue":"3","issued":{"date-parts":[["2016"]]},"page":"570-572","title":"Ferric reducing anti-oxidant power assay in plant extract","type":"article-journal","volume":"11"},"uris":["http://www.mendeley.com/documents/?uuid=3a9517e7-2fc7-4c0f-938e-5e7630861c9f"]}],"mendeley":{"formattedCitation":"(Vijayalakshmi and Ruckmani, 2016)","plainTextFormattedCitation":"(Vijayalakshmi and Ruckmani, 2016)","previouslyFormattedCitation":"(Vijayalakshmi and Ruckmani, 2016)"},"properties":{"noteIndex":0},"schema":"https://github.com/citation-style-language/schema/raw/master/csl-citation.json"}</w:instrText>
      </w:r>
      <w:r w:rsidR="005A3769" w:rsidRPr="006B08A0">
        <w:fldChar w:fldCharType="separate"/>
      </w:r>
      <w:r w:rsidR="00EE137C" w:rsidRPr="006B08A0">
        <w:rPr>
          <w:noProof/>
        </w:rPr>
        <w:t>(Vijayalakshmi and Ruckmani, 2016)</w:t>
      </w:r>
      <w:r w:rsidR="005A3769" w:rsidRPr="006B08A0">
        <w:fldChar w:fldCharType="end"/>
      </w:r>
      <w:r w:rsidRPr="006B08A0">
        <w:t>.</w:t>
      </w:r>
    </w:p>
    <w:p w14:paraId="3828C4A7" w14:textId="74C7B1DE" w:rsidR="00162233" w:rsidRPr="00B57B36" w:rsidRDefault="00D43AF4" w:rsidP="0006382A">
      <w:pPr>
        <w:pStyle w:val="Estilo1"/>
        <w:numPr>
          <w:ilvl w:val="2"/>
          <w:numId w:val="1"/>
        </w:numPr>
      </w:pPr>
      <w:r w:rsidRPr="00D43AF4">
        <w:t>Determination of reducing carbohydrates</w:t>
      </w:r>
    </w:p>
    <w:p w14:paraId="4C6D3DA0" w14:textId="3B6BBEBB" w:rsidR="00162233" w:rsidRPr="005D7FE0" w:rsidRDefault="005D7FE0" w:rsidP="00600535">
      <w:pPr>
        <w:pStyle w:val="CETBodytext"/>
      </w:pPr>
      <w:r w:rsidRPr="005D7FE0">
        <w:t xml:space="preserve">The reducing carbohydrate quantification was carried out by Miller's method using a calibration curve from 0.2 to 1 mg/mL of glucose </w:t>
      </w:r>
      <w:r w:rsidR="000B258C">
        <w:fldChar w:fldCharType="begin" w:fldLock="1"/>
      </w:r>
      <w:r w:rsidR="00EE137C">
        <w:instrText>ADDIN CSL_CITATION {"citationItems":[{"id":"ITEM-1","itemData":{"author":[{"dropping-particle":"","family":"Núñez Ávila","given":"Ramona","non-dropping-particle":"","parse-names":false,"suffix":""},{"dropping-particle":"","family":"Pérez Rivas","given":"Bernarda","non-dropping-particle":"","parse-names":false,"suffix":""},{"dropping-particle":"","family":"Motzezak Hernández","given":"Romulo","non-dropping-particle":"","parse-names":false,"suffix":""},{"dropping-particle":"","family":"Chirlino","given":"Marluy","non-dropping-particle":"","parse-names":false,"suffix":""}],"container-title":"Multiciencias","id":"ITEM-1","issue":"2","issued":{"date-parts":[["2012"]]},"page":"129-135","title":"Contenido de azúcares totales , reductores y no reductores en Agave cocui Trelease","type":"article-journal","volume":"12"},"uris":["http://www.mendeley.com/documents/?uuid=a7826259-42bf-4fdb-b1d4-4d7ff0af30fb"]}],"mendeley":{"formattedCitation":"(Núñez Ávila et al., 2012)","plainTextFormattedCitation":"(Núñez Ávila et al., 2012)","previouslyFormattedCitation":"(Núñez Ávila et al., 2012)"},"properties":{"noteIndex":0},"schema":"https://github.com/citation-style-language/schema/raw/master/csl-citation.json"}</w:instrText>
      </w:r>
      <w:r w:rsidR="000B258C">
        <w:fldChar w:fldCharType="separate"/>
      </w:r>
      <w:r w:rsidR="00EE137C" w:rsidRPr="00EE137C">
        <w:rPr>
          <w:noProof/>
        </w:rPr>
        <w:t>(Núñez Ávila et al., 2012)</w:t>
      </w:r>
      <w:r w:rsidR="000B258C">
        <w:fldChar w:fldCharType="end"/>
      </w:r>
      <w:r w:rsidRPr="005D7FE0">
        <w:t>. In a 15 mL tube, 0.5 mL of the sample, 0.5 mL of the reagent 3,5-dinitrosalisylic acid (DNS) were added and incubated for 5 min in boiling water bath. Subsequently, the reaction was stopped in cold water bath, 5 mL of distilled water was added and the reaction was mixed and kept for 15 min. The samples were analyzed by UV-VIS at 540 nm, using distilled water as blank. The DNS reagent was obtained by dissolving in order 0.8 g of sodium hydroxide, 15 g of sodium potassium tartrate tetrahydrate and 0.5 g of DNS in 50 mL of distilled water. The DNS reagent can be kept in amber bottles refrigerated at 4°C</w:t>
      </w:r>
      <w:r w:rsidR="000B258C">
        <w:t xml:space="preserve"> </w:t>
      </w:r>
      <w:r w:rsidR="000B258C">
        <w:fldChar w:fldCharType="begin" w:fldLock="1"/>
      </w:r>
      <w:r w:rsidR="00EE137C">
        <w:instrText>ADDIN CSL_CITATION {"citationItems":[{"id":"ITEM-1","itemData":{"author":[{"dropping-particle":"","family":"Núñez Ávila","given":"Ramona","non-dropping-particle":"","parse-names":false,"suffix":""},{"dropping-particle":"","family":"Pérez Rivas","given":"Bernarda","non-dropping-particle":"","parse-names":false,"suffix":""},{"dropping-particle":"","family":"Motzezak Hernández","given":"Romulo","non-dropping-particle":"","parse-names":false,"suffix":""},{"dropping-particle":"","family":"Chirlino","given":"Marluy","non-dropping-particle":"","parse-names":false,"suffix":""}],"container-title":"Multiciencias","id":"ITEM-1","issue":"2","issued":{"date-parts":[["2012"]]},"page":"129-135","title":"Contenido de azúcares totales , reductores y no reductores en Agave cocui Trelease","type":"article-journal","volume":"12"},"uris":["http://www.mendeley.com/documents/?uuid=a7826259-42bf-4fdb-b1d4-4d7ff0af30fb"]}],"mendeley":{"formattedCitation":"(Núñez Ávila et al., 2012)","plainTextFormattedCitation":"(Núñez Ávila et al., 2012)","previouslyFormattedCitation":"(Núñez Ávila et al., 2012)"},"properties":{"noteIndex":0},"schema":"https://github.com/citation-style-language/schema/raw/master/csl-citation.json"}</w:instrText>
      </w:r>
      <w:r w:rsidR="000B258C">
        <w:fldChar w:fldCharType="separate"/>
      </w:r>
      <w:r w:rsidR="00EE137C" w:rsidRPr="00EE137C">
        <w:rPr>
          <w:noProof/>
        </w:rPr>
        <w:t>(Núñez Ávila et al., 2012)</w:t>
      </w:r>
      <w:r w:rsidR="000B258C">
        <w:fldChar w:fldCharType="end"/>
      </w:r>
      <w:r w:rsidR="000B258C">
        <w:t>.</w:t>
      </w:r>
    </w:p>
    <w:p w14:paraId="13F6BC87" w14:textId="61C9E232" w:rsidR="00162233" w:rsidRPr="00B57B36" w:rsidRDefault="00D43AF4" w:rsidP="0006382A">
      <w:pPr>
        <w:pStyle w:val="Estilo1"/>
        <w:numPr>
          <w:ilvl w:val="2"/>
          <w:numId w:val="1"/>
        </w:numPr>
      </w:pPr>
      <w:r w:rsidRPr="00D43AF4">
        <w:t>Determination of inorganic, organic and total sulfates</w:t>
      </w:r>
    </w:p>
    <w:p w14:paraId="40E9C41B" w14:textId="5C81BC4A" w:rsidR="00937F55" w:rsidRDefault="00937F55" w:rsidP="00162233">
      <w:pPr>
        <w:pStyle w:val="CETBodytext"/>
      </w:pPr>
      <w:r w:rsidRPr="00937F55">
        <w:t xml:space="preserve">Sulfate quantification was performed using some modifications of the barium chloride-gelatin turbidimetric method reported by Torres et al. </w:t>
      </w:r>
      <w:r w:rsidR="000B258C">
        <w:fldChar w:fldCharType="begin" w:fldLock="1"/>
      </w:r>
      <w:r w:rsidR="00240671">
        <w:instrText>ADDIN CSL_CITATION {"citationItems":[{"id":"ITEM-1","itemData":{"DOI":"10.1016/j.algal.2018.03.016","ISSN":"22119264","abstract":"Crude extracts using hexane, dichloromethane, methanol, 80% methanol or water of two agarophytes (Gracilaria caudata and Gracilaria domingensis) and their phase partitions were evaluated on early growth of lettuce. Hexane, methanol, 80% methanol and aqueous extracts of G. caudata and dichloromethane and aqueous extracts of G. domingensis were biostimulants. Palmitic acid, the major compound of non-polar extracts and phase partition, showed a significant stimulant activity in the concentrations tested (ranging from 0.49 mM to 1.95 mM), increasing 83% of lettuce root length, comparing to control, at the highest concentration. The promoting effect of the aqueous extracts is probably related to the presence of agaran, a typical hydrocolloid polysaccharide from red algae, which is mostly an exclusive constituent of these extracts. The agarans of G. domingensis and G. caudata promoted an increase in lettuce root length of 60% and 40%, respectively (both at 1 mg·mL−1 of extract). Differences in the effects promoted by these two agarans are probably related to the different content of sulfate groups (higher for polysaccharide from G. domingensis). These results suggest that structural features of agaran-type polysaccharides can elicit distinct responses. To the best of our knowledge, this is the first report on the identification of compounds with biostimulating potential from Gracilaria.","author":[{"dropping-particle":"","family":"Torres","given":"Priscila","non-dropping-particle":"","parse-names":false,"suffix":""},{"dropping-particle":"","family":"Novaes","given":"Paula","non-dropping-particle":"","parse-names":false,"suffix":""},{"dropping-particle":"","family":"Ferreira","given":"Luciana Garcia","non-dropping-particle":"","parse-names":false,"suffix":""},{"dropping-particle":"","family":"Santos","given":"Janaína Pires","non-dropping-particle":"","parse-names":false,"suffix":""},{"dropping-particle":"","family":"Mazepa","given":"Ester","non-dropping-particle":"","parse-names":false,"suffix":""},{"dropping-particle":"","family":"Duarte","given":"Maria Eugênia R.","non-dropping-particle":"","parse-names":false,"suffix":""},{"dropping-particle":"","family":"Noseda","given":"Miguel D.","non-dropping-particle":"","parse-names":false,"suffix":""},{"dropping-particle":"","family":"Chow","given":"Fungyi","non-dropping-particle":"","parse-names":false,"suffix":""},{"dropping-particle":"","family":"Santos","given":"Deborah Y.A.C.","non-dropping-particle":"dos","parse-names":false,"suffix":""}],"container-title":"Algal Research","id":"ITEM-1","issue":"January","issued":{"date-parts":[["2018"]]},"page":"142-149","publisher":"Elsevier","title":"Effects of extracts and isolated molecules of two species of Gracilaria (Gracilariales, Rhodophyta) on early growth of lettuce","type":"article-journal","volume":"32"},"uris":["http://www.mendeley.com/documents/?uuid=ebe5a375-b427-4742-a073-5cedf70f398e"]}],"mendeley":{"formattedCitation":"(Torres et al., 2018)","manualFormatting":"(2018)","plainTextFormattedCitation":"(Torres et al., 2018)","previouslyFormattedCitation":"(Torres et al., 2018, 2021)"},"properties":{"noteIndex":0},"schema":"https://github.com/citation-style-language/schema/raw/master/csl-citation.json"}</w:instrText>
      </w:r>
      <w:r w:rsidR="000B258C">
        <w:fldChar w:fldCharType="separate"/>
      </w:r>
      <w:r w:rsidR="00240671" w:rsidRPr="00240671">
        <w:rPr>
          <w:noProof/>
        </w:rPr>
        <w:t>(2018)</w:t>
      </w:r>
      <w:r w:rsidR="000B258C">
        <w:fldChar w:fldCharType="end"/>
      </w:r>
      <w:r w:rsidRPr="00937F55">
        <w:t xml:space="preserve"> from the original research of Dodgson and Price </w:t>
      </w:r>
      <w:r w:rsidR="00F0410B">
        <w:fldChar w:fldCharType="begin" w:fldLock="1"/>
      </w:r>
      <w:r w:rsidR="00EE137C">
        <w:instrText>ADDIN CSL_CITATION {"citationItems":[{"id":"ITEM-1","itemData":{"DOI":"10.1042/bj0840106","ISSN":"02646021","PMID":"13886865","author":[{"dropping-particle":"","family":"Dodgson","given":"K. S.","non-dropping-particle":"","parse-names":false,"suffix":""},{"dropping-particle":"","family":"Price","given":"R. G.","non-dropping-particle":"","parse-names":false,"suffix":""}],"container-title":"The Biochemical journal","id":"ITEM-1","issued":{"date-parts":[["1962"]]},"page":"106-110","title":"A note on the determination of the ester sulphate content of sulphated polysaccharides.","type":"article-journal","volume":"84"},"uris":["http://www.mendeley.com/documents/?uuid=4e92d4a0-aa96-4713-aa0c-cf4b65a254c1"]}],"mendeley":{"formattedCitation":"(Dodgson and Price, 1962)","manualFormatting":"(1962)","plainTextFormattedCitation":"(Dodgson and Price, 1962)","previouslyFormattedCitation":"(Dodgson and Price, 1962)"},"properties":{"noteIndex":0},"schema":"https://github.com/citation-style-language/schema/raw/master/csl-citation.json"}</w:instrText>
      </w:r>
      <w:r w:rsidR="00F0410B">
        <w:fldChar w:fldCharType="separate"/>
      </w:r>
      <w:r w:rsidR="00F0410B" w:rsidRPr="00F0410B">
        <w:rPr>
          <w:noProof/>
        </w:rPr>
        <w:t>(1962)</w:t>
      </w:r>
      <w:r w:rsidR="00F0410B">
        <w:fldChar w:fldCharType="end"/>
      </w:r>
      <w:r w:rsidRPr="00937F55">
        <w:t>. For this purpose, a sulfate ion (SO</w:t>
      </w:r>
      <w:r w:rsidRPr="00D43AF4">
        <w:rPr>
          <w:vertAlign w:val="subscript"/>
        </w:rPr>
        <w:t>4</w:t>
      </w:r>
      <w:r w:rsidRPr="00D43AF4">
        <w:rPr>
          <w:vertAlign w:val="superscript"/>
        </w:rPr>
        <w:t>2-</w:t>
      </w:r>
      <w:r w:rsidRPr="00937F55">
        <w:t>) calibration curve from 0 to 2 mg/mL was prepared from a concentrated solution of 10 mg/mL SO</w:t>
      </w:r>
      <w:r w:rsidRPr="00A80221">
        <w:rPr>
          <w:vertAlign w:val="subscript"/>
        </w:rPr>
        <w:t>4</w:t>
      </w:r>
      <w:r w:rsidRPr="00A80221">
        <w:rPr>
          <w:vertAlign w:val="superscript"/>
        </w:rPr>
        <w:t>2-</w:t>
      </w:r>
      <w:r w:rsidRPr="00937F55">
        <w:t xml:space="preserve"> from 14.79 mg/mL sodium sulfate (Na</w:t>
      </w:r>
      <w:r w:rsidRPr="00D43AF4">
        <w:rPr>
          <w:vertAlign w:val="subscript"/>
        </w:rPr>
        <w:t>2</w:t>
      </w:r>
      <w:r w:rsidRPr="00937F55">
        <w:t>SO</w:t>
      </w:r>
      <w:r w:rsidRPr="00D43AF4">
        <w:rPr>
          <w:vertAlign w:val="subscript"/>
        </w:rPr>
        <w:t>4</w:t>
      </w:r>
      <w:r w:rsidRPr="00937F55">
        <w:t xml:space="preserve">) dissolved in 0.5 M HCl. Subsequently, hydrolysis of the extract was performed in a tube for the determination of total sulfates, therefore, 5 mL of sample, 5 mL of 0.5 M HCl were added, mixed and incubated at 105°C for 2 h. Afterwards, the sample was centrifuged at 12,000g for 10 min to obtain the supernatant. The non-hydrolyzed extract for the determination of inorganic sulfates was performed as described above, but without the heat treatment </w:t>
      </w:r>
      <w:r w:rsidR="00C413FC">
        <w:fldChar w:fldCharType="begin" w:fldLock="1"/>
      </w:r>
      <w:r w:rsidR="00EE137C">
        <w:instrText>ADDIN CSL_CITATION {"citationItems":[{"id":"ITEM-1","itemData":{"DOI":"10.1016/j.algal.2018.03.016","ISSN":"22119264","abstract":"Crude extracts using hexane, dichloromethane, methanol, 80% methanol or water of two agarophytes (Gracilaria caudata and Gracilaria domingensis) and their phase partitions were evaluated on early growth of lettuce. Hexane, methanol, 80% methanol and aqueous extracts of G. caudata and dichloromethane and aqueous extracts of G. domingensis were biostimulants. Palmitic acid, the major compound of non-polar extracts and phase partition, showed a significant stimulant activity in the concentrations tested (ranging from 0.49 mM to 1.95 mM), increasing 83% of lettuce root length, comparing to control, at the highest concentration. The promoting effect of the aqueous extracts is probably related to the presence of agaran, a typical hydrocolloid polysaccharide from red algae, which is mostly an exclusive constituent of these extracts. The agarans of G. domingensis and G. caudata promoted an increase in lettuce root length of 60% and 40%, respectively (both at 1 mg·mL−1 of extract). Differences in the effects promoted by these two agarans are probably related to the different content of sulfate groups (higher for polysaccharide from G. domingensis). These results suggest that structural features of agaran-type polysaccharides can elicit distinct responses. To the best of our knowledge, this is the first report on the identification of compounds with biostimulating potential from Gracilaria.","author":[{"dropping-particle":"","family":"Torres","given":"Priscila","non-dropping-particle":"","parse-names":false,"suffix":""},{"dropping-particle":"","family":"Novaes","given":"Paula","non-dropping-particle":"","parse-names":false,"suffix":""},{"dropping-particle":"","family":"Ferreira","given":"Luciana Garcia","non-dropping-particle":"","parse-names":false,"suffix":""},{"dropping-particle":"","family":"Santos","given":"Janaína Pires","non-dropping-particle":"","parse-names":false,"suffix":""},{"dropping-particle":"","family":"Mazepa","given":"Ester","non-dropping-particle":"","parse-names":false,"suffix":""},{"dropping-particle":"","family":"Duarte","given":"Maria Eugênia R.","non-dropping-particle":"","parse-names":false,"suffix":""},{"dropping-particle":"","family":"Noseda","given":"Miguel D.","non-dropping-particle":"","parse-names":false,"suffix":""},{"dropping-particle":"","family":"Chow","given":"Fungyi","non-dropping-particle":"","parse-names":false,"suffix":""},{"dropping-particle":"","family":"Santos","given":"Deborah Y.A.C.","non-dropping-particle":"dos","parse-names":false,"suffix":""}],"container-title":"Algal Research","id":"ITEM-1","issue":"January","issued":{"date-parts":[["2018"]]},"page":"142-149","publisher":"Elsevier","title":"Effects of extracts and isolated molecules of two species of Gracilaria (Gracilariales, Rhodophyta) on early growth of lettuce","type":"article-journal","volume":"32"},"uris":["http://www.mendeley.com/documents/?uuid=ebe5a375-b427-4742-a073-5cedf70f398e"]}],"mendeley":{"formattedCitation":"(Torres et al., 2018)","plainTextFormattedCitation":"(Torres et al., 2018)","previouslyFormattedCitation":"(Torres et al., 2018)"},"properties":{"noteIndex":0},"schema":"https://github.com/citation-style-language/schema/raw/master/csl-citation.json"}</w:instrText>
      </w:r>
      <w:r w:rsidR="00C413FC">
        <w:fldChar w:fldCharType="separate"/>
      </w:r>
      <w:r w:rsidR="00EE137C" w:rsidRPr="00EE137C">
        <w:rPr>
          <w:noProof/>
        </w:rPr>
        <w:t>(Torres et al., 2018)</w:t>
      </w:r>
      <w:r w:rsidR="00C413FC">
        <w:fldChar w:fldCharType="end"/>
      </w:r>
      <w:r w:rsidRPr="00937F55">
        <w:t>. Then, 0.5 mL of the sample supernatant, 1 mL of turbidimetric agent, 2.5 mL of ultrapure water were mixed and maintained in agitation for 5 min to perform UV-VIS analysis at 405 nm. The turbidimetric agent was obtained by dissolving 250 mg of animal gelatin in 50 mL of boiling ultrapure water. Then 2.5 g of barium chloride (BaCl</w:t>
      </w:r>
      <w:r w:rsidRPr="00D43AF4">
        <w:rPr>
          <w:vertAlign w:val="subscript"/>
        </w:rPr>
        <w:t>2</w:t>
      </w:r>
      <w:r w:rsidRPr="00937F55">
        <w:t>) and 2.5 g of sodium chloride (NaCl) were added.</w:t>
      </w:r>
      <w:r w:rsidR="00ED0E16">
        <w:t xml:space="preserve"> </w:t>
      </w:r>
      <w:r w:rsidR="00ED0E16" w:rsidRPr="00ED0E16">
        <w:t>As a negative control, 0.5 M HCl was used. The esterified or organic sulfate was calculated with the following formula:</w:t>
      </w:r>
    </w:p>
    <w:tbl>
      <w:tblPr>
        <w:tblW w:w="5000" w:type="pct"/>
        <w:tblLook w:val="04A0" w:firstRow="1" w:lastRow="0" w:firstColumn="1" w:lastColumn="0" w:noHBand="0" w:noVBand="1"/>
      </w:tblPr>
      <w:tblGrid>
        <w:gridCol w:w="7982"/>
        <w:gridCol w:w="805"/>
      </w:tblGrid>
      <w:tr w:rsidR="00F824E2" w:rsidRPr="00B57B36" w14:paraId="4A3575F9" w14:textId="77777777" w:rsidTr="00F824E2">
        <w:tc>
          <w:tcPr>
            <w:tcW w:w="8188" w:type="dxa"/>
            <w:shd w:val="clear" w:color="auto" w:fill="auto"/>
            <w:vAlign w:val="center"/>
          </w:tcPr>
          <w:p w14:paraId="3A811FCB" w14:textId="59BEFA3A" w:rsidR="00F824E2" w:rsidRPr="00B57B36" w:rsidRDefault="00F824E2" w:rsidP="008C21D1">
            <w:pPr>
              <w:pStyle w:val="CETEquation"/>
            </w:pPr>
            <m:oMathPara>
              <m:oMath>
                <m:r>
                  <w:rPr>
                    <w:rFonts w:ascii="Cambria Math" w:hAnsi="Cambria Math"/>
                  </w:rPr>
                  <m:t>ES=H</m:t>
                </m:r>
                <m:r>
                  <m:rPr>
                    <m:sty m:val="p"/>
                  </m:rPr>
                  <w:rPr>
                    <w:rFonts w:ascii="Cambria Math" w:hAnsi="Cambria Math"/>
                  </w:rPr>
                  <m:t>-NH</m:t>
                </m:r>
              </m:oMath>
            </m:oMathPara>
          </w:p>
        </w:tc>
        <w:tc>
          <w:tcPr>
            <w:tcW w:w="815" w:type="dxa"/>
            <w:shd w:val="clear" w:color="auto" w:fill="auto"/>
            <w:vAlign w:val="center"/>
          </w:tcPr>
          <w:p w14:paraId="06AD878A" w14:textId="77777777" w:rsidR="00F824E2" w:rsidRPr="00B57B36" w:rsidRDefault="00F824E2" w:rsidP="008C21D1">
            <w:pPr>
              <w:pStyle w:val="CETEquation"/>
              <w:jc w:val="right"/>
            </w:pPr>
            <w:r w:rsidRPr="00B57B36">
              <w:t>(1)</w:t>
            </w:r>
          </w:p>
        </w:tc>
      </w:tr>
    </w:tbl>
    <w:p w14:paraId="58387E58" w14:textId="0DC0F150" w:rsidR="00162233" w:rsidRPr="00ED0E16" w:rsidRDefault="00ED0E16" w:rsidP="00162233">
      <w:pPr>
        <w:pStyle w:val="CETBodytext"/>
      </w:pPr>
      <w:r w:rsidRPr="00ED0E16">
        <w:t xml:space="preserve">Where ES is the organic or esterified sulfate </w:t>
      </w:r>
      <w:r w:rsidRPr="006B08A0">
        <w:t>concentration</w:t>
      </w:r>
      <w:r w:rsidR="008B0AEA" w:rsidRPr="006B08A0">
        <w:t xml:space="preserve"> </w:t>
      </w:r>
      <w:r w:rsidR="00BC1592" w:rsidRPr="006B08A0">
        <w:t>expressed as</w:t>
      </w:r>
      <w:r w:rsidR="008B0AEA" w:rsidRPr="006B08A0">
        <w:t xml:space="preserve"> mg/mL</w:t>
      </w:r>
      <w:r w:rsidRPr="006B08A0">
        <w:t>, H the value of the hydrolyzed sample and NH the value of the non-hydrolyzed sample</w:t>
      </w:r>
      <w:r w:rsidR="00BC1592" w:rsidRPr="006B08A0">
        <w:t>, both in mg/mL</w:t>
      </w:r>
      <w:r w:rsidRPr="006B08A0">
        <w:t xml:space="preserve"> </w:t>
      </w:r>
      <w:r w:rsidR="00C413FC" w:rsidRPr="006B08A0">
        <w:fldChar w:fldCharType="begin" w:fldLock="1"/>
      </w:r>
      <w:r w:rsidR="00EE137C" w:rsidRPr="006B08A0">
        <w:instrText>ADDIN CSL_CITATION {"citationItems":[{"id":"ITEM-1","itemData":{"DOI":"10.1016/j.algal.2018.03.016","ISSN":"22119264","abstract":"Crude extracts using hexane, dichloromethane, methanol, 80% methanol or water of two agarophytes (Gracilaria caudata and Gracilaria domingensis) and their phase partitions were evaluated on early growth of lettuce. Hexane, methanol, 80% methanol and aqueous extracts of G. caudata and dichloromethane and aqueous extracts of G. domingensis were biostimulants. Palmitic acid, the major compound of non-polar extracts and phase partition, showed a significant stimulant activity in the concentrations tested (ranging from 0.49 mM to 1.95 mM), increasing 83% of lettuce root length, comparing to control, at the highest concentration. The promoting effect of the aqueous extracts is probably related to the presence of agaran, a typical hydrocolloid polysaccharide from red algae, which is mostly an exclusive constituent of these extracts. The agarans of G. domingensis and G. caudata promoted an increase in lettuce root length of 60% and 40%, respectively (both at 1 mg·mL−1 of extract). Differences in the effects promoted by these two agarans are probably related to the different content of sulfate groups (higher for polysaccharide from G. domingensis). These results suggest that structural features of agaran-type polysaccharides can elicit distinct responses. To the best of our knowledge, this is the first report on the identification of compounds with biostimulating potential from Gracilaria.","author":[{"dropping-particle":"","family":"Torres","given":"Priscila","non-dropping-particle":"","parse-names":false,"suffix":""},{"dropping-particle":"","family":"Novaes","given":"Paula","non-dropping-particle":"","parse-names":false,"suffix":""},{"dropping-particle":"","family":"Ferreira","given":"Luciana Garcia","non-dropping-particle":"","parse-names":false,"suffix":""},{"dropping-particle":"","family":"Santos","given":"Janaína Pires","non-dropping-particle":"","parse-names":false,"suffix":""},{"dropping-particle":"","family":"Mazepa","given":"Ester","non-dropping-particle":"","parse-names":false,"suffix":""},{"dropping-particle":"","family":"Duarte","given":"Maria Eugênia R.","non-dropping-particle":"","parse-names":false,"suffix":""},{"dropping-particle":"","family":"Noseda","given":"Miguel D.","non-dropping-particle":"","parse-names":false,"suffix":""},{"dropping-particle":"","family":"Chow","given":"Fungyi","non-dropping-particle":"","parse-names":false,"suffix":""},{"dropping-particle":"","family":"Santos","given":"Deborah Y.A.C.","non-dropping-particle":"dos","parse-names":false,"suffix":""}],"container-title":"Algal Research","id":"ITEM-1","issue":"January","issued":{"date-parts":[["2018"]]},"page":"142-149","publisher":"Elsevier","title":"Effects of extracts and isolated molecules of two species of Gracilaria (Gracilariales, Rhodophyta) on early growth of lettuce","type":"article-journal","volume":"32"},"uris":["http://www.mendeley.com/documents/?uuid=ebe5a375-b427-4742-a073-5cedf70f398e"]}],"mendeley":{"formattedCitation":"(Torres et al., 2018)","plainTextFormattedCitation":"(Torres et al., 2018)","previouslyFormattedCitation":"(Torres et al., 2018)"},"properties":{"noteIndex":0},"schema":"https://github.com/citation-style-language/schema/raw/master/csl-citation.json"}</w:instrText>
      </w:r>
      <w:r w:rsidR="00C413FC" w:rsidRPr="006B08A0">
        <w:fldChar w:fldCharType="separate"/>
      </w:r>
      <w:r w:rsidR="00EE137C" w:rsidRPr="006B08A0">
        <w:rPr>
          <w:noProof/>
        </w:rPr>
        <w:t>(Torres et al., 2018)</w:t>
      </w:r>
      <w:r w:rsidR="00C413FC" w:rsidRPr="006B08A0">
        <w:fldChar w:fldCharType="end"/>
      </w:r>
      <w:r w:rsidRPr="006B08A0">
        <w:t>.</w:t>
      </w:r>
    </w:p>
    <w:p w14:paraId="7023BC63" w14:textId="53EFC49D" w:rsidR="000B22F3" w:rsidRPr="003048D8" w:rsidRDefault="00162233" w:rsidP="00162233">
      <w:pPr>
        <w:pStyle w:val="CETHeading1"/>
        <w:rPr>
          <w:lang w:val="en-GB"/>
        </w:rPr>
      </w:pPr>
      <w:r>
        <w:rPr>
          <w:lang w:val="en-GB"/>
        </w:rPr>
        <w:t>Results and discussion</w:t>
      </w:r>
    </w:p>
    <w:p w14:paraId="6367650D" w14:textId="17CEADD2" w:rsidR="00162233" w:rsidRPr="00B57B36" w:rsidRDefault="004B60EF" w:rsidP="0006382A">
      <w:pPr>
        <w:pStyle w:val="Estilo1"/>
        <w:numPr>
          <w:ilvl w:val="2"/>
          <w:numId w:val="1"/>
        </w:numPr>
      </w:pPr>
      <w:r w:rsidRPr="004B60EF">
        <w:t>Factorial design 2</w:t>
      </w:r>
      <w:r w:rsidRPr="004B60EF">
        <w:rPr>
          <w:vertAlign w:val="superscript"/>
        </w:rPr>
        <w:t>3</w:t>
      </w:r>
      <w:r w:rsidRPr="004B60EF">
        <w:t xml:space="preserve"> analysis of the response variables</w:t>
      </w:r>
    </w:p>
    <w:p w14:paraId="5E38D6CC" w14:textId="1FEC3375" w:rsidR="00240671" w:rsidRDefault="00EA7BE5" w:rsidP="00600535">
      <w:pPr>
        <w:pStyle w:val="CETBodytext"/>
      </w:pPr>
      <w:r w:rsidRPr="00EA7BE5">
        <w:t xml:space="preserve">The results of the experimental design showed that the most important factor contributing to the statistical model for obtaining reducing sugars, inorganic and organic sulfates during the obtention of aqueous extracts of </w:t>
      </w:r>
      <w:r w:rsidRPr="00115012">
        <w:rPr>
          <w:i/>
        </w:rPr>
        <w:t>Sargassum sp.</w:t>
      </w:r>
      <w:r w:rsidRPr="00EA7BE5">
        <w:t xml:space="preserve"> was the concentration of the </w:t>
      </w:r>
      <w:r w:rsidR="009B4414">
        <w:t>biomass</w:t>
      </w:r>
      <w:r w:rsidRPr="00EA7BE5">
        <w:t xml:space="preserve"> (</w:t>
      </w:r>
      <w:r w:rsidR="009B4414">
        <w:t>%</w:t>
      </w:r>
      <w:r w:rsidRPr="00EA7BE5">
        <w:t>), reaching 48.7, 56.6 and 53.8%, respectively (Table 2). Temperature was another factor that contributed a large percentage (28.7%) to the statistical model for obtaining inorganic sulfates, but not for reducing sugars</w:t>
      </w:r>
      <w:r w:rsidR="00D3659D">
        <w:t xml:space="preserve"> (3.2%) and organic sulfates (7.6%)</w:t>
      </w:r>
      <w:r w:rsidRPr="00EA7BE5">
        <w:t>.</w:t>
      </w:r>
      <w:r w:rsidR="00D17674">
        <w:t xml:space="preserve"> </w:t>
      </w:r>
      <w:r w:rsidRPr="00D17674">
        <w:t>In contrast, pH contributed 17.6</w:t>
      </w:r>
      <w:r w:rsidR="0018753F" w:rsidRPr="00D17674">
        <w:t xml:space="preserve"> and 8.9%</w:t>
      </w:r>
      <w:r w:rsidRPr="00D17674">
        <w:t xml:space="preserve"> for reducing sugars</w:t>
      </w:r>
      <w:r w:rsidR="0018753F" w:rsidRPr="00D17674">
        <w:t xml:space="preserve"> and organic sulfates</w:t>
      </w:r>
      <w:r w:rsidRPr="00D17674">
        <w:t xml:space="preserve">, but was not significant for FRAP. </w:t>
      </w:r>
      <w:r w:rsidRPr="00EA7BE5">
        <w:t xml:space="preserve">On the other hand, the factor with the highest contribution in the statistical model in terms of obtaining FRAP was temperature with 47.7%, followed by </w:t>
      </w:r>
      <w:r w:rsidR="009B4414">
        <w:t>biomass</w:t>
      </w:r>
      <w:r w:rsidRPr="00EA7BE5">
        <w:t xml:space="preserve"> concentration with 29.8% (Table 2). Interactions between factors contributed less than 8% in the statistical models. </w:t>
      </w:r>
    </w:p>
    <w:p w14:paraId="467147BF" w14:textId="3742B477" w:rsidR="0084381A" w:rsidRDefault="0084381A" w:rsidP="00600535">
      <w:pPr>
        <w:pStyle w:val="CETBodytext"/>
      </w:pPr>
    </w:p>
    <w:p w14:paraId="7425DA6E" w14:textId="5B14CA29" w:rsidR="00C03692" w:rsidRDefault="00C03692" w:rsidP="00314A68">
      <w:pPr>
        <w:pStyle w:val="CETBodytext"/>
      </w:pPr>
      <w:r w:rsidRPr="000C5E99">
        <w:lastRenderedPageBreak/>
        <w:t xml:space="preserve">The above suggests that the antioxidant activity comes mainly from other compounds that may be present in </w:t>
      </w:r>
      <w:r w:rsidRPr="006B08A0">
        <w:t>the extract and not from the sulfated polysaccharides, such as polyphenols, flavonoids, or pigments, all of</w:t>
      </w:r>
      <w:r w:rsidR="00EA6A6F" w:rsidRPr="006B08A0">
        <w:t xml:space="preserve"> them</w:t>
      </w:r>
      <w:r w:rsidRPr="006B08A0">
        <w:t xml:space="preserve">  </w:t>
      </w:r>
      <w:r w:rsidR="002979F3" w:rsidRPr="006B08A0">
        <w:t>were</w:t>
      </w:r>
      <w:r w:rsidRPr="006B08A0">
        <w:t xml:space="preserve"> reported for the genus </w:t>
      </w:r>
      <w:r w:rsidRPr="006B08A0">
        <w:rPr>
          <w:i/>
          <w:iCs/>
        </w:rPr>
        <w:t xml:space="preserve">Sargassum </w:t>
      </w:r>
      <w:r w:rsidRPr="006B08A0">
        <w:fldChar w:fldCharType="begin" w:fldLock="1"/>
      </w:r>
      <w:r w:rsidRPr="006B08A0">
        <w:instrText>ADDIN CSL_CITATION {"citationItems":[{"id":"ITEM-1","itemData":{"DOI":"10.1016/j.scitotenv.2018.06.176","ISSN":"18791026","PMID":"29960231","abstract":"Most of the studies regarding the impact of ocean acidification on macroalgae have been carried out for short-term periods, in controlled laboratory conditions, thus hampering the possibility to scale up the effects on long-term. In the present study, the volcanic CO2 vents off Ischia Island were used as a natural laboratory to investigate the metabolic response of the brown alga Sargassum vulgare to acidification at different time scales. For long-term effects, algal populations naturally growing at acidified and control sites were compared. For short-term responses, in situ reciprocal transplants from control to acidified site and vice-versa were performed. Changes in the levels of sugars, fatty acids (FAs), amino acids (AAs), antioxidants, and phenolic compounds were examined. Our main finding includes variable metabolic response of this alga at different time scales to natural acidification. The levels of sugars, FAs, and some secondary metabolites were lower in the natural population at the acidified site, whereas the majority of AAs were higher than those detected in thalli growing at control site. Moreover, in algae transplanted from control to acidified site, soluble sugars (glucose and mannose), majority of AAs, and FAs increased in comparison to control plants transplanted within the same site. The differences in the response of the macroalga suggest that the metabolic changes observed in transplants may be due to acclimation that supports algae to cope with acidification, thus leading to adaptation to lowered pH in long time scale.","author":[{"dropping-particle":"","family":"Kumar","given":"Amit","non-dropping-particle":"","parse-names":false,"suffix":""},{"dropping-particle":"","family":"AbdElgawad","given":"Hamada","non-dropping-particle":"","parse-names":false,"suffix":""},{"dropping-particle":"","family":"Castellano","given":"Immacolata","non-dropping-particle":"","parse-names":false,"suffix":""},{"dropping-particle":"","family":"Selim","given":"Samy","non-dropping-particle":"","parse-names":false,"suffix":""},{"dropping-particle":"","family":"Beemster","given":"Gerrit T.S.","non-dropping-particle":"","parse-names":false,"suffix":""},{"dropping-particle":"","family":"Asard","given":"Han","non-dropping-particle":"","parse-names":false,"suffix":""},{"dropping-particle":"","family":"Buia","given":"Maria Cristina","non-dropping-particle":"","parse-names":false,"suffix":""},{"dropping-particle":"","family":"Palumbo","given":"Anna","non-dropping-particle":"","parse-names":false,"suffix":""}],"container-title":"Science of the Total Environment","id":"ITEM-1","issued":{"date-parts":[["2018"]]},"page":"946-956","publisher":"Elsevier B.V.","title":"Effects of ocean acidification on the levels of primary and secondary metabolites in the brown macroalga Sargassum vulgare at different time scales","type":"article-journal","volume":"643"},"uris":["http://www.mendeley.com/documents/?uuid=1861ac14-51a7-4787-a1c3-355123cf5d0f"]},{"id":"ITEM-2","itemData":{"DOI":"http://doi.org/10.22438/jeb/44/2/MRN-5081","author":[{"dropping-particle":"","family":"Afreen","given":"A. B.","non-dropping-particle":"","parse-names":false,"suffix":""},{"dropping-particle":"","family":"Rasool","given":"F.","non-dropping-particle":"","parse-names":false,"suffix":""},{"dropping-particle":"","family":"Fatima","given":"M.","non-dropping-particle":"","parse-names":false,"suffix":""}],"container-title":"Journal of Environmental Biology","id":"ITEM-2","issue":"2023","issued":{"date-parts":[["2023"]]},"page":"146-158","title":"Bioactive properties of brown seaweed, Sargassum wightii and its nutritional, therapeutic potential and health benefits: A review","type":"article-journal","volume":"44"},"uris":["http://www.mendeley.com/documents/?uuid=f063a96c-0122-4a04-aaa9-186a44be88e4"]},{"id":"ITEM-3","itemData":{"DOI":"10.1007/s11157-015-9381-7","ISSN":"15729826","abstract":"Marine seaweeds represent an abundant source of natural products and may harbour valuable chemicals. The brown seaweed Sargassum muticum is an invasive species to the coasts of the British Isles, mainland Europe and North America. Attempts at its eradication and control have generally not been successful, although time-consuming and costly. Commercial exploration of this biomass for food, fuel and pharmaceutical products could encourage its harvesting and control. Though S. muticum might be unsuitable as a source of biofuel due to high ash and water content, this rapidly growing macroalga has a naturally high content of antioxidants, carotenoids and phenols, including the well-known anti-cancer compound fucoxanthin, making this species a potential source of a range of pharmaceutically relevant materials.","author":[{"dropping-particle":"","family":"Milledge","given":"John J.","non-dropping-particle":"","parse-names":false,"suffix":""},{"dropping-particle":"V.","family":"Nielsen","given":"Birthe","non-dropping-particle":"","parse-names":false,"suffix":""},{"dropping-particle":"","family":"Bailey","given":"David","non-dropping-particle":"","parse-names":false,"suffix":""}],"container-title":"Reviews in Environmental Science and Biotechnology","id":"ITEM-3","issue":"1","issued":{"date-parts":[["2016"]]},"page":"67-88","publisher":"Springer Netherlands","title":"High-value products from macroalgae: the potential uses of the invasive brown seaweed, Sargassum muticum","type":"article-journal","volume":"15"},"uris":["http://www.mendeley.com/documents/?uuid=9f911b40-e359-4cf9-852d-58b6f56828d7"]}],"mendeley":{"formattedCitation":"(Afreen et al., 2023; Kumar et al., 2018; Milledge et al., 2016)","plainTextFormattedCitation":"(Afreen et al., 2023; Kumar et al., 2018; Milledge et al., 2016)","previouslyFormattedCitation":"(Afreen et al., 2023; Kumar et al., 2018; Milledge et al., 2016)"},"properties":{"noteIndex":0},"schema":"https://github.com/citation-style-language/schema/raw/master/csl-citation.json"}</w:instrText>
      </w:r>
      <w:r w:rsidRPr="006B08A0">
        <w:fldChar w:fldCharType="separate"/>
      </w:r>
      <w:r w:rsidRPr="006B08A0">
        <w:rPr>
          <w:noProof/>
        </w:rPr>
        <w:t>(Afreen et al., 2023; Kumar et al., 2018; Milledge et al., 2016)</w:t>
      </w:r>
      <w:r w:rsidRPr="006B08A0">
        <w:fldChar w:fldCharType="end"/>
      </w:r>
      <w:r w:rsidRPr="006B08A0">
        <w:t>. This</w:t>
      </w:r>
      <w:r w:rsidRPr="000C5E99">
        <w:t xml:space="preserve"> because the temperature factor explained more than 40% of the FRAP response but was not significant for reducing sugars</w:t>
      </w:r>
      <w:r>
        <w:t>,</w:t>
      </w:r>
      <w:r w:rsidRPr="000C5E99">
        <w:t xml:space="preserve"> and only explained 7.6% for organic sulfates (Table 2).</w:t>
      </w:r>
    </w:p>
    <w:p w14:paraId="0D3CDC92" w14:textId="77777777" w:rsidR="00BE5413" w:rsidRDefault="00BE5413" w:rsidP="00314A68">
      <w:pPr>
        <w:pStyle w:val="CETBodytext"/>
        <w:rPr>
          <w:i/>
        </w:rPr>
      </w:pPr>
    </w:p>
    <w:p w14:paraId="7C575F13" w14:textId="421DD338" w:rsidR="00314A68" w:rsidRPr="00C03692" w:rsidRDefault="00314A68" w:rsidP="00314A68">
      <w:pPr>
        <w:pStyle w:val="CETBodytext"/>
      </w:pPr>
      <w:r w:rsidRPr="004B60EF">
        <w:rPr>
          <w:i/>
        </w:rPr>
        <w:t xml:space="preserve">Table </w:t>
      </w:r>
      <w:r>
        <w:rPr>
          <w:i/>
        </w:rPr>
        <w:t>2</w:t>
      </w:r>
      <w:r w:rsidRPr="004B60EF">
        <w:rPr>
          <w:i/>
        </w:rPr>
        <w:t>: Factors contribution to the statistical model of the response variables assessed in obtaining Sargassum sp. extracts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594"/>
        <w:gridCol w:w="1696"/>
        <w:gridCol w:w="1741"/>
        <w:gridCol w:w="1563"/>
      </w:tblGrid>
      <w:tr w:rsidR="00314A68" w14:paraId="422D3AF7" w14:textId="77777777" w:rsidTr="008C21D1">
        <w:tc>
          <w:tcPr>
            <w:tcW w:w="2193" w:type="dxa"/>
            <w:vMerge w:val="restart"/>
            <w:tcBorders>
              <w:top w:val="single" w:sz="12" w:space="0" w:color="008000"/>
            </w:tcBorders>
            <w:vAlign w:val="center"/>
          </w:tcPr>
          <w:p w14:paraId="3EE74A46" w14:textId="77777777" w:rsidR="00314A68" w:rsidRPr="00FB4902" w:rsidRDefault="00314A68" w:rsidP="008C21D1">
            <w:pPr>
              <w:jc w:val="center"/>
              <w:rPr>
                <w:rFonts w:cs="Arial"/>
                <w:szCs w:val="18"/>
                <w:lang w:val="es-419"/>
              </w:rPr>
            </w:pPr>
            <w:proofErr w:type="spellStart"/>
            <w:r w:rsidRPr="00FB4902">
              <w:rPr>
                <w:rFonts w:cs="Arial"/>
                <w:szCs w:val="18"/>
                <w:lang w:val="es-419"/>
              </w:rPr>
              <w:t>Factors</w:t>
            </w:r>
            <w:proofErr w:type="spellEnd"/>
          </w:p>
        </w:tc>
        <w:tc>
          <w:tcPr>
            <w:tcW w:w="6594" w:type="dxa"/>
            <w:gridSpan w:val="4"/>
            <w:tcBorders>
              <w:top w:val="single" w:sz="12" w:space="0" w:color="008000"/>
              <w:bottom w:val="single" w:sz="4" w:space="0" w:color="auto"/>
            </w:tcBorders>
            <w:vAlign w:val="center"/>
          </w:tcPr>
          <w:p w14:paraId="4A192856" w14:textId="77777777" w:rsidR="00314A68" w:rsidRPr="00FB4902" w:rsidRDefault="00314A68" w:rsidP="008C21D1">
            <w:pPr>
              <w:jc w:val="center"/>
              <w:rPr>
                <w:rFonts w:cs="Arial"/>
                <w:szCs w:val="18"/>
                <w:lang w:val="en-US"/>
              </w:rPr>
            </w:pPr>
            <w:r w:rsidRPr="00FB4902">
              <w:rPr>
                <w:rFonts w:cs="Arial"/>
                <w:szCs w:val="18"/>
                <w:lang w:val="en-US"/>
              </w:rPr>
              <w:t>Contribution to the statistical model</w:t>
            </w:r>
            <w:r>
              <w:rPr>
                <w:rFonts w:cs="Arial"/>
                <w:szCs w:val="18"/>
                <w:lang w:val="en-US"/>
              </w:rPr>
              <w:t xml:space="preserve"> (%)</w:t>
            </w:r>
          </w:p>
        </w:tc>
      </w:tr>
      <w:tr w:rsidR="00314A68" w14:paraId="22578272" w14:textId="77777777" w:rsidTr="008C21D1">
        <w:tc>
          <w:tcPr>
            <w:tcW w:w="2193" w:type="dxa"/>
            <w:vMerge/>
            <w:tcBorders>
              <w:bottom w:val="single" w:sz="6" w:space="0" w:color="008000"/>
            </w:tcBorders>
            <w:vAlign w:val="center"/>
          </w:tcPr>
          <w:p w14:paraId="5C3BF9C2" w14:textId="77777777" w:rsidR="00314A68" w:rsidRPr="00FB4902" w:rsidRDefault="00314A68" w:rsidP="008C21D1">
            <w:pPr>
              <w:jc w:val="center"/>
              <w:rPr>
                <w:rFonts w:cs="Arial"/>
                <w:szCs w:val="18"/>
                <w:lang w:val="en-US"/>
              </w:rPr>
            </w:pPr>
          </w:p>
        </w:tc>
        <w:tc>
          <w:tcPr>
            <w:tcW w:w="1594" w:type="dxa"/>
            <w:tcBorders>
              <w:top w:val="single" w:sz="6" w:space="0" w:color="008000"/>
              <w:bottom w:val="single" w:sz="6" w:space="0" w:color="008000"/>
            </w:tcBorders>
            <w:vAlign w:val="center"/>
          </w:tcPr>
          <w:p w14:paraId="03E97420" w14:textId="77777777" w:rsidR="00314A68" w:rsidRPr="00FB4902" w:rsidRDefault="00314A68" w:rsidP="008C21D1">
            <w:pPr>
              <w:jc w:val="center"/>
              <w:rPr>
                <w:rFonts w:cs="Arial"/>
                <w:szCs w:val="18"/>
                <w:lang w:val="es-419"/>
              </w:rPr>
            </w:pPr>
            <w:r>
              <w:rPr>
                <w:rFonts w:cs="Arial"/>
                <w:szCs w:val="18"/>
                <w:lang w:val="es-419"/>
              </w:rPr>
              <w:t>FRAP</w:t>
            </w:r>
          </w:p>
        </w:tc>
        <w:tc>
          <w:tcPr>
            <w:tcW w:w="1696" w:type="dxa"/>
            <w:tcBorders>
              <w:top w:val="single" w:sz="6" w:space="0" w:color="008000"/>
              <w:bottom w:val="single" w:sz="6" w:space="0" w:color="008000"/>
            </w:tcBorders>
            <w:vAlign w:val="center"/>
          </w:tcPr>
          <w:p w14:paraId="2E18B1A3" w14:textId="77777777" w:rsidR="00314A68" w:rsidRPr="00FB4902" w:rsidRDefault="00314A68" w:rsidP="008C21D1">
            <w:pPr>
              <w:jc w:val="center"/>
              <w:rPr>
                <w:rFonts w:cs="Arial"/>
                <w:szCs w:val="18"/>
                <w:lang w:val="es-419"/>
              </w:rPr>
            </w:pPr>
            <w:proofErr w:type="spellStart"/>
            <w:r w:rsidRPr="00FB4902">
              <w:rPr>
                <w:rFonts w:cs="Arial"/>
                <w:szCs w:val="18"/>
                <w:lang w:val="es-419"/>
              </w:rPr>
              <w:t>Reducing</w:t>
            </w:r>
            <w:proofErr w:type="spellEnd"/>
            <w:r w:rsidRPr="00FB4902">
              <w:rPr>
                <w:rFonts w:cs="Arial"/>
                <w:szCs w:val="18"/>
                <w:lang w:val="es-419"/>
              </w:rPr>
              <w:t xml:space="preserve"> </w:t>
            </w:r>
            <w:proofErr w:type="spellStart"/>
            <w:r>
              <w:rPr>
                <w:rFonts w:cs="Arial"/>
                <w:szCs w:val="18"/>
                <w:lang w:val="es-419"/>
              </w:rPr>
              <w:t>sugars</w:t>
            </w:r>
            <w:proofErr w:type="spellEnd"/>
          </w:p>
        </w:tc>
        <w:tc>
          <w:tcPr>
            <w:tcW w:w="1741" w:type="dxa"/>
            <w:tcBorders>
              <w:top w:val="single" w:sz="6" w:space="0" w:color="008000"/>
              <w:bottom w:val="single" w:sz="6" w:space="0" w:color="008000"/>
            </w:tcBorders>
            <w:vAlign w:val="center"/>
          </w:tcPr>
          <w:p w14:paraId="04639508" w14:textId="77777777" w:rsidR="00314A68" w:rsidRPr="00FB4902" w:rsidRDefault="00314A68" w:rsidP="008C21D1">
            <w:pPr>
              <w:jc w:val="center"/>
              <w:rPr>
                <w:rFonts w:cs="Arial"/>
                <w:szCs w:val="18"/>
                <w:lang w:val="es-419"/>
              </w:rPr>
            </w:pPr>
            <w:proofErr w:type="spellStart"/>
            <w:r w:rsidRPr="00FB4902">
              <w:rPr>
                <w:rFonts w:cs="Arial"/>
                <w:szCs w:val="18"/>
                <w:lang w:val="es-419"/>
              </w:rPr>
              <w:t>Inorganic</w:t>
            </w:r>
            <w:proofErr w:type="spellEnd"/>
            <w:r w:rsidRPr="00FB4902">
              <w:rPr>
                <w:rFonts w:cs="Arial"/>
                <w:szCs w:val="18"/>
                <w:lang w:val="es-419"/>
              </w:rPr>
              <w:t xml:space="preserve"> sulfates</w:t>
            </w:r>
          </w:p>
        </w:tc>
        <w:tc>
          <w:tcPr>
            <w:tcW w:w="1563" w:type="dxa"/>
            <w:tcBorders>
              <w:top w:val="single" w:sz="6" w:space="0" w:color="008000"/>
              <w:bottom w:val="single" w:sz="6" w:space="0" w:color="008000"/>
            </w:tcBorders>
            <w:vAlign w:val="center"/>
          </w:tcPr>
          <w:p w14:paraId="7B590D13" w14:textId="77777777" w:rsidR="00314A68" w:rsidRPr="00FB4902" w:rsidRDefault="00314A68" w:rsidP="008C21D1">
            <w:pPr>
              <w:jc w:val="center"/>
              <w:rPr>
                <w:rFonts w:cs="Arial"/>
                <w:szCs w:val="18"/>
                <w:lang w:val="es-419"/>
              </w:rPr>
            </w:pPr>
            <w:proofErr w:type="spellStart"/>
            <w:r>
              <w:rPr>
                <w:rFonts w:cs="Arial"/>
                <w:szCs w:val="18"/>
                <w:lang w:val="es-419"/>
              </w:rPr>
              <w:t>Organic</w:t>
            </w:r>
            <w:proofErr w:type="spellEnd"/>
            <w:r>
              <w:rPr>
                <w:rFonts w:cs="Arial"/>
                <w:szCs w:val="18"/>
                <w:lang w:val="es-419"/>
              </w:rPr>
              <w:t xml:space="preserve"> sulfates</w:t>
            </w:r>
          </w:p>
        </w:tc>
      </w:tr>
      <w:tr w:rsidR="00314A68" w14:paraId="1C3F4C4F" w14:textId="77777777" w:rsidTr="008C21D1">
        <w:tc>
          <w:tcPr>
            <w:tcW w:w="2193" w:type="dxa"/>
            <w:tcBorders>
              <w:top w:val="single" w:sz="6" w:space="0" w:color="008000"/>
            </w:tcBorders>
            <w:vAlign w:val="center"/>
          </w:tcPr>
          <w:p w14:paraId="123422AA" w14:textId="77777777" w:rsidR="00314A68" w:rsidRPr="00FB4902" w:rsidRDefault="00314A68" w:rsidP="008C21D1">
            <w:pPr>
              <w:jc w:val="center"/>
              <w:rPr>
                <w:rFonts w:cs="Arial"/>
                <w:szCs w:val="18"/>
                <w:lang w:val="es-419"/>
              </w:rPr>
            </w:pPr>
            <w:proofErr w:type="spellStart"/>
            <w:r w:rsidRPr="00FB4902">
              <w:rPr>
                <w:rFonts w:cs="Arial"/>
                <w:szCs w:val="18"/>
                <w:lang w:val="es-419"/>
              </w:rPr>
              <w:t>Tempe</w:t>
            </w:r>
            <w:r>
              <w:rPr>
                <w:rFonts w:cs="Arial"/>
                <w:szCs w:val="18"/>
                <w:lang w:val="es-419"/>
              </w:rPr>
              <w:t>rature</w:t>
            </w:r>
            <w:proofErr w:type="spellEnd"/>
            <w:r w:rsidRPr="00FB4902">
              <w:rPr>
                <w:rFonts w:cs="Arial"/>
                <w:szCs w:val="18"/>
                <w:lang w:val="es-419"/>
              </w:rPr>
              <w:t xml:space="preserve"> (A)</w:t>
            </w:r>
          </w:p>
        </w:tc>
        <w:tc>
          <w:tcPr>
            <w:tcW w:w="1594" w:type="dxa"/>
            <w:tcBorders>
              <w:top w:val="single" w:sz="6" w:space="0" w:color="008000"/>
            </w:tcBorders>
            <w:vAlign w:val="center"/>
          </w:tcPr>
          <w:p w14:paraId="75227FAA" w14:textId="77777777" w:rsidR="00314A68" w:rsidRPr="00FB4902" w:rsidRDefault="00314A68" w:rsidP="008C21D1">
            <w:pPr>
              <w:jc w:val="center"/>
              <w:rPr>
                <w:rFonts w:cs="Arial"/>
                <w:szCs w:val="18"/>
                <w:lang w:val="es-419"/>
              </w:rPr>
            </w:pPr>
            <w:r w:rsidRPr="00FB4902">
              <w:rPr>
                <w:rFonts w:cs="Arial"/>
                <w:szCs w:val="18"/>
                <w:lang w:val="es-419"/>
              </w:rPr>
              <w:t>47.7**</w:t>
            </w:r>
          </w:p>
        </w:tc>
        <w:tc>
          <w:tcPr>
            <w:tcW w:w="1696" w:type="dxa"/>
            <w:tcBorders>
              <w:top w:val="single" w:sz="6" w:space="0" w:color="008000"/>
            </w:tcBorders>
            <w:vAlign w:val="center"/>
          </w:tcPr>
          <w:p w14:paraId="47888788" w14:textId="77777777" w:rsidR="00314A68" w:rsidRPr="00FB4902" w:rsidRDefault="00314A68" w:rsidP="008C21D1">
            <w:pPr>
              <w:jc w:val="center"/>
              <w:rPr>
                <w:rFonts w:cs="Arial"/>
                <w:szCs w:val="18"/>
                <w:lang w:val="es-419"/>
              </w:rPr>
            </w:pPr>
            <w:r w:rsidRPr="00FB4902">
              <w:rPr>
                <w:rFonts w:cs="Arial"/>
                <w:szCs w:val="18"/>
                <w:lang w:val="es-419"/>
              </w:rPr>
              <w:t>3.2</w:t>
            </w:r>
          </w:p>
        </w:tc>
        <w:tc>
          <w:tcPr>
            <w:tcW w:w="1741" w:type="dxa"/>
            <w:tcBorders>
              <w:top w:val="single" w:sz="6" w:space="0" w:color="008000"/>
            </w:tcBorders>
            <w:vAlign w:val="center"/>
          </w:tcPr>
          <w:p w14:paraId="5BC4401A" w14:textId="77777777" w:rsidR="00314A68" w:rsidRPr="00FB4902" w:rsidRDefault="00314A68" w:rsidP="008C21D1">
            <w:pPr>
              <w:jc w:val="center"/>
              <w:rPr>
                <w:rFonts w:cs="Arial"/>
                <w:szCs w:val="18"/>
                <w:lang w:val="es-419"/>
              </w:rPr>
            </w:pPr>
            <w:r w:rsidRPr="00FB4902">
              <w:rPr>
                <w:rFonts w:cs="Arial"/>
                <w:szCs w:val="18"/>
                <w:lang w:val="es-419"/>
              </w:rPr>
              <w:t>28.7**</w:t>
            </w:r>
          </w:p>
        </w:tc>
        <w:tc>
          <w:tcPr>
            <w:tcW w:w="1563" w:type="dxa"/>
            <w:tcBorders>
              <w:top w:val="single" w:sz="6" w:space="0" w:color="008000"/>
            </w:tcBorders>
            <w:vAlign w:val="center"/>
          </w:tcPr>
          <w:p w14:paraId="12DBFB2B" w14:textId="77777777" w:rsidR="00314A68" w:rsidRPr="00FB4902" w:rsidRDefault="00314A68" w:rsidP="008C21D1">
            <w:pPr>
              <w:jc w:val="center"/>
              <w:rPr>
                <w:rFonts w:cs="Arial"/>
                <w:szCs w:val="18"/>
                <w:lang w:val="es-419"/>
              </w:rPr>
            </w:pPr>
            <w:r w:rsidRPr="00FB4902">
              <w:rPr>
                <w:rFonts w:cs="Arial"/>
                <w:szCs w:val="18"/>
                <w:lang w:val="es-419"/>
              </w:rPr>
              <w:t>7.6*</w:t>
            </w:r>
          </w:p>
        </w:tc>
      </w:tr>
      <w:tr w:rsidR="00314A68" w14:paraId="7EE5959F" w14:textId="77777777" w:rsidTr="008C21D1">
        <w:tc>
          <w:tcPr>
            <w:tcW w:w="2193" w:type="dxa"/>
            <w:vAlign w:val="center"/>
          </w:tcPr>
          <w:p w14:paraId="435F2234" w14:textId="77777777" w:rsidR="00314A68" w:rsidRPr="00FB4902" w:rsidRDefault="00314A68" w:rsidP="008C21D1">
            <w:pPr>
              <w:jc w:val="center"/>
              <w:rPr>
                <w:rFonts w:cs="Arial"/>
                <w:szCs w:val="18"/>
                <w:lang w:val="es-419"/>
              </w:rPr>
            </w:pPr>
            <w:r w:rsidRPr="00FB4902">
              <w:rPr>
                <w:rFonts w:cs="Arial"/>
                <w:szCs w:val="18"/>
                <w:lang w:val="es-419"/>
              </w:rPr>
              <w:t>pH (B)</w:t>
            </w:r>
          </w:p>
        </w:tc>
        <w:tc>
          <w:tcPr>
            <w:tcW w:w="1594" w:type="dxa"/>
            <w:vAlign w:val="center"/>
          </w:tcPr>
          <w:p w14:paraId="33B004E0" w14:textId="77777777" w:rsidR="00314A68" w:rsidRPr="00FB4902" w:rsidRDefault="00314A68" w:rsidP="008C21D1">
            <w:pPr>
              <w:jc w:val="center"/>
              <w:rPr>
                <w:rFonts w:cs="Arial"/>
                <w:szCs w:val="18"/>
                <w:lang w:val="es-419"/>
              </w:rPr>
            </w:pPr>
            <w:r w:rsidRPr="00FB4902">
              <w:rPr>
                <w:rFonts w:cs="Arial"/>
                <w:szCs w:val="18"/>
                <w:lang w:val="es-419"/>
              </w:rPr>
              <w:t>0.1</w:t>
            </w:r>
          </w:p>
        </w:tc>
        <w:tc>
          <w:tcPr>
            <w:tcW w:w="1696" w:type="dxa"/>
            <w:vAlign w:val="center"/>
          </w:tcPr>
          <w:p w14:paraId="02B7D301" w14:textId="77777777" w:rsidR="00314A68" w:rsidRPr="00FB4902" w:rsidRDefault="00314A68" w:rsidP="008C21D1">
            <w:pPr>
              <w:jc w:val="center"/>
              <w:rPr>
                <w:rFonts w:cs="Arial"/>
                <w:szCs w:val="18"/>
                <w:lang w:val="es-419"/>
              </w:rPr>
            </w:pPr>
            <w:r w:rsidRPr="00FB4902">
              <w:rPr>
                <w:rFonts w:cs="Arial"/>
                <w:szCs w:val="18"/>
                <w:lang w:val="es-419"/>
              </w:rPr>
              <w:t>17.6**</w:t>
            </w:r>
          </w:p>
        </w:tc>
        <w:tc>
          <w:tcPr>
            <w:tcW w:w="1741" w:type="dxa"/>
            <w:vAlign w:val="center"/>
          </w:tcPr>
          <w:p w14:paraId="612687BB" w14:textId="77777777" w:rsidR="00314A68" w:rsidRPr="00FB4902" w:rsidRDefault="00314A68" w:rsidP="008C21D1">
            <w:pPr>
              <w:jc w:val="center"/>
              <w:rPr>
                <w:rFonts w:cs="Arial"/>
                <w:szCs w:val="18"/>
                <w:lang w:val="es-419"/>
              </w:rPr>
            </w:pPr>
            <w:r w:rsidRPr="00FB4902">
              <w:rPr>
                <w:rFonts w:cs="Arial"/>
                <w:szCs w:val="18"/>
                <w:lang w:val="es-419"/>
              </w:rPr>
              <w:t>2.0**</w:t>
            </w:r>
          </w:p>
        </w:tc>
        <w:tc>
          <w:tcPr>
            <w:tcW w:w="1563" w:type="dxa"/>
            <w:vAlign w:val="center"/>
          </w:tcPr>
          <w:p w14:paraId="1E31FDE2" w14:textId="77777777" w:rsidR="00314A68" w:rsidRPr="00FB4902" w:rsidRDefault="00314A68" w:rsidP="008C21D1">
            <w:pPr>
              <w:jc w:val="center"/>
              <w:rPr>
                <w:rFonts w:cs="Arial"/>
                <w:szCs w:val="18"/>
                <w:lang w:val="es-419"/>
              </w:rPr>
            </w:pPr>
            <w:r w:rsidRPr="00FB4902">
              <w:rPr>
                <w:rFonts w:cs="Arial"/>
                <w:szCs w:val="18"/>
                <w:lang w:val="es-419"/>
              </w:rPr>
              <w:t>8.9*</w:t>
            </w:r>
          </w:p>
        </w:tc>
      </w:tr>
      <w:tr w:rsidR="00314A68" w14:paraId="399C0FD4" w14:textId="77777777" w:rsidTr="008C21D1">
        <w:tc>
          <w:tcPr>
            <w:tcW w:w="2193" w:type="dxa"/>
            <w:vAlign w:val="center"/>
          </w:tcPr>
          <w:p w14:paraId="48AA02C0" w14:textId="77777777" w:rsidR="00314A68" w:rsidRPr="00FB4902" w:rsidRDefault="00314A68" w:rsidP="008C21D1">
            <w:pPr>
              <w:jc w:val="center"/>
              <w:rPr>
                <w:rFonts w:cs="Arial"/>
                <w:szCs w:val="18"/>
                <w:lang w:val="es-419"/>
              </w:rPr>
            </w:pPr>
            <w:proofErr w:type="spellStart"/>
            <w:r w:rsidRPr="00FB4902">
              <w:rPr>
                <w:rFonts w:cs="Arial"/>
                <w:szCs w:val="18"/>
                <w:lang w:val="es-419"/>
              </w:rPr>
              <w:t>Conc</w:t>
            </w:r>
            <w:r>
              <w:rPr>
                <w:rFonts w:cs="Arial"/>
                <w:szCs w:val="18"/>
                <w:lang w:val="es-419"/>
              </w:rPr>
              <w:t>entration</w:t>
            </w:r>
            <w:proofErr w:type="spellEnd"/>
            <w:r w:rsidRPr="00FB4902">
              <w:rPr>
                <w:rFonts w:cs="Arial"/>
                <w:szCs w:val="18"/>
                <w:lang w:val="es-419"/>
              </w:rPr>
              <w:t xml:space="preserve"> (C)</w:t>
            </w:r>
          </w:p>
        </w:tc>
        <w:tc>
          <w:tcPr>
            <w:tcW w:w="1594" w:type="dxa"/>
            <w:vAlign w:val="center"/>
          </w:tcPr>
          <w:p w14:paraId="3D3861AF" w14:textId="77777777" w:rsidR="00314A68" w:rsidRPr="00FB4902" w:rsidRDefault="00314A68" w:rsidP="008C21D1">
            <w:pPr>
              <w:jc w:val="center"/>
              <w:rPr>
                <w:rFonts w:cs="Arial"/>
                <w:szCs w:val="18"/>
                <w:lang w:val="es-419"/>
              </w:rPr>
            </w:pPr>
            <w:r w:rsidRPr="00FB4902">
              <w:rPr>
                <w:rFonts w:cs="Arial"/>
                <w:szCs w:val="18"/>
                <w:lang w:val="es-419"/>
              </w:rPr>
              <w:t>29.8**</w:t>
            </w:r>
          </w:p>
        </w:tc>
        <w:tc>
          <w:tcPr>
            <w:tcW w:w="1696" w:type="dxa"/>
            <w:vAlign w:val="center"/>
          </w:tcPr>
          <w:p w14:paraId="37083990" w14:textId="77777777" w:rsidR="00314A68" w:rsidRPr="00FB4902" w:rsidRDefault="00314A68" w:rsidP="008C21D1">
            <w:pPr>
              <w:jc w:val="center"/>
              <w:rPr>
                <w:rFonts w:cs="Arial"/>
                <w:szCs w:val="18"/>
                <w:lang w:val="es-419"/>
              </w:rPr>
            </w:pPr>
            <w:r w:rsidRPr="00FB4902">
              <w:rPr>
                <w:rFonts w:cs="Arial"/>
                <w:szCs w:val="18"/>
                <w:lang w:val="es-419"/>
              </w:rPr>
              <w:t>48.7**</w:t>
            </w:r>
          </w:p>
        </w:tc>
        <w:tc>
          <w:tcPr>
            <w:tcW w:w="1741" w:type="dxa"/>
            <w:vAlign w:val="center"/>
          </w:tcPr>
          <w:p w14:paraId="51950BA0" w14:textId="77777777" w:rsidR="00314A68" w:rsidRPr="00FB4902" w:rsidRDefault="00314A68" w:rsidP="008C21D1">
            <w:pPr>
              <w:jc w:val="center"/>
              <w:rPr>
                <w:rFonts w:cs="Arial"/>
                <w:szCs w:val="18"/>
                <w:lang w:val="es-419"/>
              </w:rPr>
            </w:pPr>
            <w:r w:rsidRPr="00FB4902">
              <w:rPr>
                <w:rFonts w:cs="Arial"/>
                <w:szCs w:val="18"/>
                <w:lang w:val="es-419"/>
              </w:rPr>
              <w:t>56.6**</w:t>
            </w:r>
          </w:p>
        </w:tc>
        <w:tc>
          <w:tcPr>
            <w:tcW w:w="1563" w:type="dxa"/>
            <w:vAlign w:val="center"/>
          </w:tcPr>
          <w:p w14:paraId="5DEBC972" w14:textId="77777777" w:rsidR="00314A68" w:rsidRPr="00FB4902" w:rsidRDefault="00314A68" w:rsidP="008C21D1">
            <w:pPr>
              <w:jc w:val="center"/>
              <w:rPr>
                <w:rFonts w:cs="Arial"/>
                <w:szCs w:val="18"/>
                <w:lang w:val="es-419"/>
              </w:rPr>
            </w:pPr>
            <w:r w:rsidRPr="00FB4902">
              <w:rPr>
                <w:rFonts w:cs="Arial"/>
                <w:szCs w:val="18"/>
                <w:lang w:val="es-419"/>
              </w:rPr>
              <w:t>53.8**</w:t>
            </w:r>
          </w:p>
        </w:tc>
      </w:tr>
      <w:tr w:rsidR="00314A68" w14:paraId="221BEB70" w14:textId="77777777" w:rsidTr="008C21D1">
        <w:tc>
          <w:tcPr>
            <w:tcW w:w="2193" w:type="dxa"/>
            <w:vAlign w:val="center"/>
          </w:tcPr>
          <w:p w14:paraId="331803B2" w14:textId="77777777" w:rsidR="00314A68" w:rsidRPr="00FB4902" w:rsidRDefault="00314A68" w:rsidP="008C21D1">
            <w:pPr>
              <w:jc w:val="center"/>
              <w:rPr>
                <w:rFonts w:cs="Arial"/>
                <w:szCs w:val="18"/>
                <w:lang w:val="es-419"/>
              </w:rPr>
            </w:pPr>
            <w:r w:rsidRPr="00FB4902">
              <w:rPr>
                <w:rFonts w:cs="Arial"/>
                <w:szCs w:val="18"/>
                <w:lang w:val="es-419"/>
              </w:rPr>
              <w:t>AB</w:t>
            </w:r>
          </w:p>
        </w:tc>
        <w:tc>
          <w:tcPr>
            <w:tcW w:w="1594" w:type="dxa"/>
            <w:vAlign w:val="center"/>
          </w:tcPr>
          <w:p w14:paraId="3B5288AC" w14:textId="77777777" w:rsidR="00314A68" w:rsidRPr="00FB4902" w:rsidRDefault="00314A68" w:rsidP="008C21D1">
            <w:pPr>
              <w:jc w:val="center"/>
              <w:rPr>
                <w:rFonts w:cs="Arial"/>
                <w:szCs w:val="18"/>
                <w:lang w:val="es-419"/>
              </w:rPr>
            </w:pPr>
            <w:r w:rsidRPr="00FB4902">
              <w:rPr>
                <w:rFonts w:cs="Arial"/>
                <w:szCs w:val="18"/>
                <w:lang w:val="es-419"/>
              </w:rPr>
              <w:t>0.3</w:t>
            </w:r>
          </w:p>
        </w:tc>
        <w:tc>
          <w:tcPr>
            <w:tcW w:w="1696" w:type="dxa"/>
            <w:vAlign w:val="center"/>
          </w:tcPr>
          <w:p w14:paraId="6852137C" w14:textId="77777777" w:rsidR="00314A68" w:rsidRPr="00FB4902" w:rsidRDefault="00314A68" w:rsidP="008C21D1">
            <w:pPr>
              <w:jc w:val="center"/>
              <w:rPr>
                <w:rFonts w:cs="Arial"/>
                <w:szCs w:val="18"/>
                <w:lang w:val="es-419"/>
              </w:rPr>
            </w:pPr>
            <w:r w:rsidRPr="00FB4902">
              <w:rPr>
                <w:rFonts w:cs="Arial"/>
                <w:szCs w:val="18"/>
                <w:lang w:val="es-419"/>
              </w:rPr>
              <w:t>0.6</w:t>
            </w:r>
          </w:p>
        </w:tc>
        <w:tc>
          <w:tcPr>
            <w:tcW w:w="1741" w:type="dxa"/>
            <w:vAlign w:val="center"/>
          </w:tcPr>
          <w:p w14:paraId="2FC2768E" w14:textId="77777777" w:rsidR="00314A68" w:rsidRPr="00FB4902" w:rsidRDefault="00314A68" w:rsidP="008C21D1">
            <w:pPr>
              <w:jc w:val="center"/>
              <w:rPr>
                <w:rFonts w:cs="Arial"/>
                <w:szCs w:val="18"/>
                <w:lang w:val="es-419"/>
              </w:rPr>
            </w:pPr>
            <w:r w:rsidRPr="00FB4902">
              <w:rPr>
                <w:rFonts w:cs="Arial"/>
                <w:szCs w:val="18"/>
                <w:lang w:val="es-419"/>
              </w:rPr>
              <w:t>0.6</w:t>
            </w:r>
          </w:p>
        </w:tc>
        <w:tc>
          <w:tcPr>
            <w:tcW w:w="1563" w:type="dxa"/>
            <w:vAlign w:val="center"/>
          </w:tcPr>
          <w:p w14:paraId="524AFEC0" w14:textId="77777777" w:rsidR="00314A68" w:rsidRPr="00FB4902" w:rsidRDefault="00314A68" w:rsidP="008C21D1">
            <w:pPr>
              <w:jc w:val="center"/>
              <w:rPr>
                <w:rFonts w:cs="Arial"/>
                <w:szCs w:val="18"/>
                <w:lang w:val="es-419"/>
              </w:rPr>
            </w:pPr>
            <w:r w:rsidRPr="00FB4902">
              <w:rPr>
                <w:rFonts w:cs="Arial"/>
                <w:szCs w:val="18"/>
                <w:lang w:val="es-419"/>
              </w:rPr>
              <w:t>0.02</w:t>
            </w:r>
          </w:p>
        </w:tc>
      </w:tr>
      <w:tr w:rsidR="00314A68" w14:paraId="46DCB00A" w14:textId="77777777" w:rsidTr="008C21D1">
        <w:tc>
          <w:tcPr>
            <w:tcW w:w="2193" w:type="dxa"/>
            <w:vAlign w:val="center"/>
          </w:tcPr>
          <w:p w14:paraId="2423D971" w14:textId="77777777" w:rsidR="00314A68" w:rsidRPr="00FB4902" w:rsidRDefault="00314A68" w:rsidP="008C21D1">
            <w:pPr>
              <w:jc w:val="center"/>
              <w:rPr>
                <w:rFonts w:cs="Arial"/>
                <w:szCs w:val="18"/>
                <w:lang w:val="es-419"/>
              </w:rPr>
            </w:pPr>
            <w:r w:rsidRPr="00FB4902">
              <w:rPr>
                <w:rFonts w:cs="Arial"/>
                <w:szCs w:val="18"/>
                <w:lang w:val="es-419"/>
              </w:rPr>
              <w:t>AC</w:t>
            </w:r>
          </w:p>
        </w:tc>
        <w:tc>
          <w:tcPr>
            <w:tcW w:w="1594" w:type="dxa"/>
            <w:vAlign w:val="center"/>
          </w:tcPr>
          <w:p w14:paraId="0E598EE8" w14:textId="77777777" w:rsidR="00314A68" w:rsidRPr="00FB4902" w:rsidRDefault="00314A68" w:rsidP="008C21D1">
            <w:pPr>
              <w:jc w:val="center"/>
              <w:rPr>
                <w:rFonts w:cs="Arial"/>
                <w:szCs w:val="18"/>
                <w:lang w:val="es-419"/>
              </w:rPr>
            </w:pPr>
            <w:r w:rsidRPr="00FB4902">
              <w:rPr>
                <w:rFonts w:cs="Arial"/>
                <w:szCs w:val="18"/>
                <w:lang w:val="es-419"/>
              </w:rPr>
              <w:t>6.2**</w:t>
            </w:r>
          </w:p>
        </w:tc>
        <w:tc>
          <w:tcPr>
            <w:tcW w:w="1696" w:type="dxa"/>
            <w:vAlign w:val="center"/>
          </w:tcPr>
          <w:p w14:paraId="1CCC1F5E" w14:textId="77777777" w:rsidR="00314A68" w:rsidRPr="00FB4902" w:rsidRDefault="00314A68" w:rsidP="008C21D1">
            <w:pPr>
              <w:jc w:val="center"/>
              <w:rPr>
                <w:rFonts w:cs="Arial"/>
                <w:szCs w:val="18"/>
                <w:lang w:val="es-419"/>
              </w:rPr>
            </w:pPr>
            <w:r w:rsidRPr="00FB4902">
              <w:rPr>
                <w:rFonts w:cs="Arial"/>
                <w:szCs w:val="18"/>
                <w:lang w:val="es-419"/>
              </w:rPr>
              <w:t>4.6</w:t>
            </w:r>
          </w:p>
        </w:tc>
        <w:tc>
          <w:tcPr>
            <w:tcW w:w="1741" w:type="dxa"/>
            <w:vAlign w:val="center"/>
          </w:tcPr>
          <w:p w14:paraId="5DDC1EC1" w14:textId="77777777" w:rsidR="00314A68" w:rsidRPr="00FB4902" w:rsidRDefault="00314A68" w:rsidP="008C21D1">
            <w:pPr>
              <w:jc w:val="center"/>
              <w:rPr>
                <w:rFonts w:cs="Arial"/>
                <w:szCs w:val="18"/>
                <w:lang w:val="es-419"/>
              </w:rPr>
            </w:pPr>
            <w:r w:rsidRPr="00FB4902">
              <w:rPr>
                <w:rFonts w:cs="Arial"/>
                <w:szCs w:val="18"/>
                <w:lang w:val="es-419"/>
              </w:rPr>
              <w:t>5.2**</w:t>
            </w:r>
          </w:p>
        </w:tc>
        <w:tc>
          <w:tcPr>
            <w:tcW w:w="1563" w:type="dxa"/>
            <w:vAlign w:val="center"/>
          </w:tcPr>
          <w:p w14:paraId="6094C880" w14:textId="77777777" w:rsidR="00314A68" w:rsidRPr="00FB4902" w:rsidRDefault="00314A68" w:rsidP="008C21D1">
            <w:pPr>
              <w:jc w:val="center"/>
              <w:rPr>
                <w:rFonts w:cs="Arial"/>
                <w:szCs w:val="18"/>
                <w:lang w:val="es-419"/>
              </w:rPr>
            </w:pPr>
            <w:r w:rsidRPr="00FB4902">
              <w:rPr>
                <w:rFonts w:cs="Arial"/>
                <w:szCs w:val="18"/>
                <w:lang w:val="es-419"/>
              </w:rPr>
              <w:t>0.4</w:t>
            </w:r>
          </w:p>
        </w:tc>
      </w:tr>
      <w:tr w:rsidR="00314A68" w14:paraId="6B86FB9F" w14:textId="77777777" w:rsidTr="008C21D1">
        <w:tc>
          <w:tcPr>
            <w:tcW w:w="2193" w:type="dxa"/>
            <w:vAlign w:val="center"/>
          </w:tcPr>
          <w:p w14:paraId="1B5A4BCC" w14:textId="77777777" w:rsidR="00314A68" w:rsidRPr="00FB4902" w:rsidRDefault="00314A68" w:rsidP="008C21D1">
            <w:pPr>
              <w:jc w:val="center"/>
              <w:rPr>
                <w:rFonts w:cs="Arial"/>
                <w:szCs w:val="18"/>
                <w:lang w:val="es-419"/>
              </w:rPr>
            </w:pPr>
            <w:r w:rsidRPr="00FB4902">
              <w:rPr>
                <w:rFonts w:cs="Arial"/>
                <w:szCs w:val="18"/>
                <w:lang w:val="es-419"/>
              </w:rPr>
              <w:t>BC</w:t>
            </w:r>
          </w:p>
        </w:tc>
        <w:tc>
          <w:tcPr>
            <w:tcW w:w="1594" w:type="dxa"/>
            <w:vAlign w:val="center"/>
          </w:tcPr>
          <w:p w14:paraId="721A949E" w14:textId="77777777" w:rsidR="00314A68" w:rsidRPr="00FB4902" w:rsidRDefault="00314A68" w:rsidP="008C21D1">
            <w:pPr>
              <w:jc w:val="center"/>
              <w:rPr>
                <w:rFonts w:cs="Arial"/>
                <w:szCs w:val="18"/>
                <w:lang w:val="es-419"/>
              </w:rPr>
            </w:pPr>
            <w:r w:rsidRPr="00FB4902">
              <w:rPr>
                <w:rFonts w:cs="Arial"/>
                <w:szCs w:val="18"/>
                <w:lang w:val="es-419"/>
              </w:rPr>
              <w:t>4.5*</w:t>
            </w:r>
          </w:p>
        </w:tc>
        <w:tc>
          <w:tcPr>
            <w:tcW w:w="1696" w:type="dxa"/>
            <w:vAlign w:val="center"/>
          </w:tcPr>
          <w:p w14:paraId="00C4647E" w14:textId="77777777" w:rsidR="00314A68" w:rsidRPr="00FB4902" w:rsidRDefault="00314A68" w:rsidP="008C21D1">
            <w:pPr>
              <w:jc w:val="center"/>
              <w:rPr>
                <w:rFonts w:cs="Arial"/>
                <w:szCs w:val="18"/>
                <w:lang w:val="es-419"/>
              </w:rPr>
            </w:pPr>
            <w:r w:rsidRPr="00FB4902">
              <w:rPr>
                <w:rFonts w:cs="Arial"/>
                <w:szCs w:val="18"/>
                <w:lang w:val="es-419"/>
              </w:rPr>
              <w:t>7.1*</w:t>
            </w:r>
          </w:p>
        </w:tc>
        <w:tc>
          <w:tcPr>
            <w:tcW w:w="1741" w:type="dxa"/>
            <w:vAlign w:val="center"/>
          </w:tcPr>
          <w:p w14:paraId="094FE941" w14:textId="77777777" w:rsidR="00314A68" w:rsidRPr="00FB4902" w:rsidRDefault="00314A68" w:rsidP="008C21D1">
            <w:pPr>
              <w:jc w:val="center"/>
              <w:rPr>
                <w:rFonts w:cs="Arial"/>
                <w:szCs w:val="18"/>
                <w:lang w:val="es-419"/>
              </w:rPr>
            </w:pPr>
            <w:r w:rsidRPr="00FB4902">
              <w:rPr>
                <w:rFonts w:cs="Arial"/>
                <w:szCs w:val="18"/>
                <w:lang w:val="es-419"/>
              </w:rPr>
              <w:t>1.5*</w:t>
            </w:r>
          </w:p>
        </w:tc>
        <w:tc>
          <w:tcPr>
            <w:tcW w:w="1563" w:type="dxa"/>
            <w:vAlign w:val="center"/>
          </w:tcPr>
          <w:p w14:paraId="59B40DEC" w14:textId="77777777" w:rsidR="00314A68" w:rsidRPr="00FB4902" w:rsidRDefault="00314A68" w:rsidP="008C21D1">
            <w:pPr>
              <w:jc w:val="center"/>
              <w:rPr>
                <w:rFonts w:cs="Arial"/>
                <w:szCs w:val="18"/>
                <w:lang w:val="es-419"/>
              </w:rPr>
            </w:pPr>
            <w:r w:rsidRPr="00FB4902">
              <w:rPr>
                <w:rFonts w:cs="Arial"/>
                <w:szCs w:val="18"/>
                <w:lang w:val="es-419"/>
              </w:rPr>
              <w:t>0.5</w:t>
            </w:r>
          </w:p>
        </w:tc>
      </w:tr>
      <w:tr w:rsidR="00314A68" w14:paraId="7E7ECED5" w14:textId="77777777" w:rsidTr="008C21D1">
        <w:tc>
          <w:tcPr>
            <w:tcW w:w="2193" w:type="dxa"/>
            <w:vAlign w:val="center"/>
          </w:tcPr>
          <w:p w14:paraId="3470060A" w14:textId="77777777" w:rsidR="00314A68" w:rsidRPr="00FB4902" w:rsidRDefault="00314A68" w:rsidP="008C21D1">
            <w:pPr>
              <w:jc w:val="center"/>
              <w:rPr>
                <w:rFonts w:cs="Arial"/>
                <w:szCs w:val="18"/>
                <w:lang w:val="es-419"/>
              </w:rPr>
            </w:pPr>
            <w:r w:rsidRPr="00FB4902">
              <w:rPr>
                <w:rFonts w:cs="Arial"/>
                <w:szCs w:val="18"/>
                <w:lang w:val="es-419"/>
              </w:rPr>
              <w:t>ABC</w:t>
            </w:r>
          </w:p>
        </w:tc>
        <w:tc>
          <w:tcPr>
            <w:tcW w:w="1594" w:type="dxa"/>
            <w:vAlign w:val="center"/>
          </w:tcPr>
          <w:p w14:paraId="48A46A1A" w14:textId="77777777" w:rsidR="00314A68" w:rsidRPr="00FB4902" w:rsidRDefault="00314A68" w:rsidP="008C21D1">
            <w:pPr>
              <w:jc w:val="center"/>
              <w:rPr>
                <w:rFonts w:cs="Arial"/>
                <w:szCs w:val="18"/>
                <w:lang w:val="es-419"/>
              </w:rPr>
            </w:pPr>
            <w:r w:rsidRPr="00FB4902">
              <w:rPr>
                <w:rFonts w:cs="Arial"/>
                <w:szCs w:val="18"/>
                <w:lang w:val="es-419"/>
              </w:rPr>
              <w:t>0.6</w:t>
            </w:r>
          </w:p>
        </w:tc>
        <w:tc>
          <w:tcPr>
            <w:tcW w:w="1696" w:type="dxa"/>
            <w:vAlign w:val="center"/>
          </w:tcPr>
          <w:p w14:paraId="66873153" w14:textId="77777777" w:rsidR="00314A68" w:rsidRPr="00FB4902" w:rsidRDefault="00314A68" w:rsidP="008C21D1">
            <w:pPr>
              <w:jc w:val="center"/>
              <w:rPr>
                <w:rFonts w:cs="Arial"/>
                <w:szCs w:val="18"/>
                <w:lang w:val="es-419"/>
              </w:rPr>
            </w:pPr>
            <w:r w:rsidRPr="00FB4902">
              <w:rPr>
                <w:rFonts w:cs="Arial"/>
                <w:szCs w:val="18"/>
                <w:lang w:val="es-419"/>
              </w:rPr>
              <w:t>0.006</w:t>
            </w:r>
          </w:p>
        </w:tc>
        <w:tc>
          <w:tcPr>
            <w:tcW w:w="1741" w:type="dxa"/>
            <w:vAlign w:val="center"/>
          </w:tcPr>
          <w:p w14:paraId="6B7C1ABC" w14:textId="77777777" w:rsidR="00314A68" w:rsidRPr="00FB4902" w:rsidRDefault="00314A68" w:rsidP="008C21D1">
            <w:pPr>
              <w:jc w:val="center"/>
              <w:rPr>
                <w:rFonts w:cs="Arial"/>
                <w:szCs w:val="18"/>
                <w:lang w:val="es-419"/>
              </w:rPr>
            </w:pPr>
            <w:r w:rsidRPr="00FB4902">
              <w:rPr>
                <w:rFonts w:cs="Arial"/>
                <w:szCs w:val="18"/>
                <w:lang w:val="es-419"/>
              </w:rPr>
              <w:t>1.7**</w:t>
            </w:r>
          </w:p>
        </w:tc>
        <w:tc>
          <w:tcPr>
            <w:tcW w:w="1563" w:type="dxa"/>
            <w:vAlign w:val="center"/>
          </w:tcPr>
          <w:p w14:paraId="131A997B" w14:textId="77777777" w:rsidR="00314A68" w:rsidRPr="00FB4902" w:rsidRDefault="00314A68" w:rsidP="008C21D1">
            <w:pPr>
              <w:jc w:val="center"/>
              <w:rPr>
                <w:rFonts w:cs="Arial"/>
                <w:szCs w:val="18"/>
                <w:lang w:val="es-419"/>
              </w:rPr>
            </w:pPr>
            <w:r w:rsidRPr="00FB4902">
              <w:rPr>
                <w:rFonts w:cs="Arial"/>
                <w:szCs w:val="18"/>
                <w:lang w:val="es-419"/>
              </w:rPr>
              <w:t>4.9</w:t>
            </w:r>
          </w:p>
        </w:tc>
      </w:tr>
      <w:tr w:rsidR="00314A68" w14:paraId="4A301ACC" w14:textId="77777777" w:rsidTr="008C21D1">
        <w:tc>
          <w:tcPr>
            <w:tcW w:w="2193" w:type="dxa"/>
            <w:tcBorders>
              <w:bottom w:val="single" w:sz="12" w:space="0" w:color="008000"/>
            </w:tcBorders>
            <w:vAlign w:val="center"/>
          </w:tcPr>
          <w:p w14:paraId="61D1C8B3" w14:textId="77777777" w:rsidR="00314A68" w:rsidRPr="00FB4902" w:rsidRDefault="00314A68" w:rsidP="008C21D1">
            <w:pPr>
              <w:jc w:val="center"/>
              <w:rPr>
                <w:rFonts w:cs="Arial"/>
                <w:szCs w:val="18"/>
                <w:lang w:val="es-419"/>
              </w:rPr>
            </w:pPr>
            <w:r w:rsidRPr="00FB4902">
              <w:rPr>
                <w:rFonts w:cs="Arial"/>
                <w:szCs w:val="18"/>
                <w:lang w:val="es-419"/>
              </w:rPr>
              <w:t>Error</w:t>
            </w:r>
          </w:p>
        </w:tc>
        <w:tc>
          <w:tcPr>
            <w:tcW w:w="1594" w:type="dxa"/>
            <w:tcBorders>
              <w:bottom w:val="single" w:sz="12" w:space="0" w:color="008000"/>
            </w:tcBorders>
            <w:vAlign w:val="center"/>
          </w:tcPr>
          <w:p w14:paraId="480D56AA" w14:textId="77777777" w:rsidR="00314A68" w:rsidRPr="00FB4902" w:rsidRDefault="00314A68" w:rsidP="008C21D1">
            <w:pPr>
              <w:jc w:val="center"/>
              <w:rPr>
                <w:rFonts w:cs="Arial"/>
                <w:szCs w:val="18"/>
                <w:lang w:val="es-419"/>
              </w:rPr>
            </w:pPr>
            <w:r w:rsidRPr="00FB4902">
              <w:rPr>
                <w:rFonts w:cs="Arial"/>
                <w:szCs w:val="18"/>
                <w:lang w:val="es-419"/>
              </w:rPr>
              <w:t>10.5</w:t>
            </w:r>
          </w:p>
        </w:tc>
        <w:tc>
          <w:tcPr>
            <w:tcW w:w="1696" w:type="dxa"/>
            <w:tcBorders>
              <w:bottom w:val="single" w:sz="12" w:space="0" w:color="008000"/>
            </w:tcBorders>
            <w:vAlign w:val="center"/>
          </w:tcPr>
          <w:p w14:paraId="42C29737" w14:textId="77777777" w:rsidR="00314A68" w:rsidRPr="00FB4902" w:rsidRDefault="00314A68" w:rsidP="008C21D1">
            <w:pPr>
              <w:jc w:val="center"/>
              <w:rPr>
                <w:rFonts w:cs="Arial"/>
                <w:szCs w:val="18"/>
                <w:lang w:val="es-419"/>
              </w:rPr>
            </w:pPr>
            <w:r w:rsidRPr="00FB4902">
              <w:rPr>
                <w:rFonts w:cs="Arial"/>
                <w:szCs w:val="18"/>
                <w:lang w:val="es-419"/>
              </w:rPr>
              <w:t>17.8</w:t>
            </w:r>
          </w:p>
        </w:tc>
        <w:tc>
          <w:tcPr>
            <w:tcW w:w="1741" w:type="dxa"/>
            <w:tcBorders>
              <w:bottom w:val="single" w:sz="12" w:space="0" w:color="008000"/>
            </w:tcBorders>
            <w:vAlign w:val="center"/>
          </w:tcPr>
          <w:p w14:paraId="3E30028E" w14:textId="77777777" w:rsidR="00314A68" w:rsidRPr="00FB4902" w:rsidRDefault="00314A68" w:rsidP="008C21D1">
            <w:pPr>
              <w:jc w:val="center"/>
              <w:rPr>
                <w:rFonts w:cs="Arial"/>
                <w:szCs w:val="18"/>
                <w:lang w:val="es-419"/>
              </w:rPr>
            </w:pPr>
            <w:r w:rsidRPr="00FB4902">
              <w:rPr>
                <w:rFonts w:cs="Arial"/>
                <w:szCs w:val="18"/>
                <w:lang w:val="es-419"/>
              </w:rPr>
              <w:t>3.3</w:t>
            </w:r>
          </w:p>
        </w:tc>
        <w:tc>
          <w:tcPr>
            <w:tcW w:w="1563" w:type="dxa"/>
            <w:tcBorders>
              <w:bottom w:val="single" w:sz="12" w:space="0" w:color="008000"/>
            </w:tcBorders>
            <w:vAlign w:val="center"/>
          </w:tcPr>
          <w:p w14:paraId="52DED8CD" w14:textId="77777777" w:rsidR="00314A68" w:rsidRPr="00FB4902" w:rsidRDefault="00314A68" w:rsidP="008C21D1">
            <w:pPr>
              <w:jc w:val="center"/>
              <w:rPr>
                <w:rFonts w:cs="Arial"/>
                <w:szCs w:val="18"/>
                <w:lang w:val="es-419"/>
              </w:rPr>
            </w:pPr>
            <w:r w:rsidRPr="00FB4902">
              <w:rPr>
                <w:rFonts w:cs="Arial"/>
                <w:szCs w:val="18"/>
                <w:lang w:val="es-419"/>
              </w:rPr>
              <w:t>23.6</w:t>
            </w:r>
          </w:p>
        </w:tc>
      </w:tr>
    </w:tbl>
    <w:p w14:paraId="1AD1C3F5" w14:textId="78A39C2E" w:rsidR="00314A68" w:rsidRDefault="00314A68" w:rsidP="00600535">
      <w:pPr>
        <w:pStyle w:val="CETBodytext"/>
      </w:pPr>
      <w:r w:rsidRPr="00FB4902">
        <w:t>AB; AC, BC, ABC: interaction</w:t>
      </w:r>
      <w:r>
        <w:t>s</w:t>
      </w:r>
      <w:r w:rsidRPr="00FB4902">
        <w:t xml:space="preserve"> between the factors Temperature (A), pH (B) and Concentration (C)</w:t>
      </w:r>
      <w:r w:rsidR="006608BD">
        <w:t xml:space="preserve">. </w:t>
      </w:r>
      <w:r w:rsidRPr="008544D6">
        <w:t>* Significant with 95% confidence interval</w:t>
      </w:r>
      <w:r w:rsidR="006608BD">
        <w:t xml:space="preserve">. </w:t>
      </w:r>
      <w:r w:rsidRPr="008544D6">
        <w:t>**</w:t>
      </w:r>
      <w:r w:rsidRPr="00FB4902">
        <w:t xml:space="preserve"> </w:t>
      </w:r>
      <w:r w:rsidRPr="008544D6">
        <w:t>Significant with 99% confidence interval</w:t>
      </w:r>
    </w:p>
    <w:p w14:paraId="4C226FE9" w14:textId="77777777" w:rsidR="006608BD" w:rsidRDefault="006608BD" w:rsidP="00600535">
      <w:pPr>
        <w:pStyle w:val="CETBodytext"/>
      </w:pPr>
    </w:p>
    <w:p w14:paraId="589BD2BE" w14:textId="3C3822DF" w:rsidR="00F00615" w:rsidRPr="00A80221" w:rsidRDefault="00C03692" w:rsidP="00600535">
      <w:pPr>
        <w:pStyle w:val="CETBodytext"/>
      </w:pPr>
      <w:r w:rsidRPr="00C03692">
        <w:t>Furthermore</w:t>
      </w:r>
      <w:r w:rsidR="00F658F6" w:rsidRPr="008811FD">
        <w:t>,</w:t>
      </w:r>
      <w:r w:rsidR="00500FF2" w:rsidRPr="008811FD">
        <w:t xml:space="preserve"> </w:t>
      </w:r>
      <w:r w:rsidR="00BC7432" w:rsidRPr="008811FD">
        <w:t>the</w:t>
      </w:r>
      <w:r w:rsidR="00AC2FB6" w:rsidRPr="008811FD">
        <w:t xml:space="preserve"> FRAP concentration response analyzed in the design of experiments for obtaining </w:t>
      </w:r>
      <w:r w:rsidR="00AC2FB6" w:rsidRPr="008811FD">
        <w:rPr>
          <w:i/>
        </w:rPr>
        <w:t>Sargassum sp.</w:t>
      </w:r>
      <w:r w:rsidR="00AC2FB6" w:rsidRPr="008811FD">
        <w:t xml:space="preserve"> extracts showed that the maximum concentration of antioxidant power was obtained when using 90°C, pH 4.5 and 11% </w:t>
      </w:r>
      <w:r w:rsidR="009B4414">
        <w:t>biomass</w:t>
      </w:r>
      <w:r w:rsidR="00AC2FB6" w:rsidRPr="008811FD">
        <w:t xml:space="preserve"> concentration (Figure 1a), </w:t>
      </w:r>
      <w:r w:rsidR="00793684" w:rsidRPr="008811FD">
        <w:t>w</w:t>
      </w:r>
      <w:r w:rsidR="006F79FD" w:rsidRPr="008811FD">
        <w:t>hereas</w:t>
      </w:r>
      <w:r w:rsidR="003A0EBC" w:rsidRPr="008811FD">
        <w:t xml:space="preserve"> </w:t>
      </w:r>
      <w:r w:rsidR="00AC2FB6" w:rsidRPr="008811FD">
        <w:t xml:space="preserve">the maximum concentration of reducing sugars, inorganic and organic sulfates was obtained using 90°C, pH 2.5 and 11% </w:t>
      </w:r>
      <w:r w:rsidR="009B4414">
        <w:t>biomass</w:t>
      </w:r>
      <w:r w:rsidR="00AC2FB6" w:rsidRPr="00FF0046">
        <w:t xml:space="preserve"> concentration</w:t>
      </w:r>
      <w:r w:rsidR="00AC2FB6" w:rsidRPr="008811FD">
        <w:t xml:space="preserve"> (Figure 1b – 1d).</w:t>
      </w:r>
    </w:p>
    <w:p w14:paraId="0E38D401" w14:textId="77777777" w:rsidR="00235DA4" w:rsidRDefault="00235DA4" w:rsidP="00235DA4">
      <w:pPr>
        <w:pStyle w:val="CETBodytext"/>
        <w:rPr>
          <w:highlight w:val="yellow"/>
          <w:lang w:val="es-419"/>
        </w:rPr>
      </w:pPr>
      <w:bookmarkStart w:id="1" w:name="_GoBack"/>
      <w:r>
        <w:rPr>
          <w:noProof/>
          <w:lang w:val="es-MX" w:eastAsia="es-MX"/>
        </w:rPr>
        <w:drawing>
          <wp:inline distT="0" distB="0" distL="0" distR="0" wp14:anchorId="21363E08" wp14:editId="08F5BF36">
            <wp:extent cx="3637214" cy="2537226"/>
            <wp:effectExtent l="0" t="0" r="1905" b="0"/>
            <wp:docPr id="4"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204" cy="2637670"/>
                    </a:xfrm>
                    <a:prstGeom prst="rect">
                      <a:avLst/>
                    </a:prstGeom>
                    <a:noFill/>
                    <a:ln>
                      <a:noFill/>
                    </a:ln>
                  </pic:spPr>
                </pic:pic>
              </a:graphicData>
            </a:graphic>
          </wp:inline>
        </w:drawing>
      </w:r>
      <w:bookmarkEnd w:id="1"/>
    </w:p>
    <w:p w14:paraId="3529D752" w14:textId="7A101605" w:rsidR="00235DA4" w:rsidRPr="007D2E5A" w:rsidRDefault="00235DA4" w:rsidP="00235DA4">
      <w:pPr>
        <w:pStyle w:val="CETBodytext"/>
        <w:rPr>
          <w:i/>
        </w:rPr>
      </w:pPr>
      <w:r w:rsidRPr="007D2E5A">
        <w:rPr>
          <w:i/>
        </w:rPr>
        <w:t>Figure 1: Concentration analysis of a) FRAP, b) reducing sugars, c) inorganic and d) organic sulfates in aqueous extracts of Sargassum sp. Significant differences (P ˂ 0.05) are shown with lowercase letters above the bars.</w:t>
      </w:r>
    </w:p>
    <w:p w14:paraId="16EDA4C0" w14:textId="77777777" w:rsidR="00AC2FB6" w:rsidRPr="00AC2FB6" w:rsidRDefault="00AC2FB6" w:rsidP="00600535">
      <w:pPr>
        <w:pStyle w:val="CETBodytext"/>
      </w:pPr>
    </w:p>
    <w:p w14:paraId="57CE9E49" w14:textId="4361AFBF" w:rsidR="006B013D" w:rsidRPr="00E323F3" w:rsidRDefault="00E323F3" w:rsidP="00600535">
      <w:pPr>
        <w:pStyle w:val="CETBodytext"/>
      </w:pPr>
      <w:r w:rsidRPr="00E323F3">
        <w:t xml:space="preserve">The </w:t>
      </w:r>
      <w:r>
        <w:t>last</w:t>
      </w:r>
      <w:r w:rsidRPr="00E323F3">
        <w:t xml:space="preserve"> indicates that the content of organic sulfates and reducing sugars are related to each other</w:t>
      </w:r>
      <w:r w:rsidR="0095616D">
        <w:t>.</w:t>
      </w:r>
      <w:r w:rsidRPr="00E323F3">
        <w:t xml:space="preserve"> </w:t>
      </w:r>
      <w:r w:rsidR="0095616D">
        <w:t>I</w:t>
      </w:r>
      <w:r w:rsidRPr="00E323F3">
        <w:t>n addition</w:t>
      </w:r>
      <w:r w:rsidR="0095616D">
        <w:t>, both responses</w:t>
      </w:r>
      <w:r w:rsidRPr="00E323F3">
        <w:t xml:space="preserve"> </w:t>
      </w:r>
      <w:r w:rsidR="00360603">
        <w:t>were</w:t>
      </w:r>
      <w:r w:rsidRPr="00E323F3">
        <w:t xml:space="preserve"> influenced by pH (Table 2), suggesting that the extracted reducing sugars present sulfate esters and, therefore, may be forming part of the structure of the sulfated polysaccharides. This is because the chemical structure of such polymers consists mainly of sulfated rhamnose and xylose, which are reducing sugars, as well as glucuronic acid and iduronic acid in disaccharide repeats with </w:t>
      </w:r>
      <w:r w:rsidRPr="00E323F3">
        <w:rPr>
          <w:lang w:val="es-MX"/>
        </w:rPr>
        <w:t>α</w:t>
      </w:r>
      <w:r w:rsidRPr="00E323F3">
        <w:t xml:space="preserve">- and </w:t>
      </w:r>
      <w:r w:rsidRPr="00E323F3">
        <w:rPr>
          <w:lang w:val="es-MX"/>
        </w:rPr>
        <w:t>β</w:t>
      </w:r>
      <w:r w:rsidRPr="00E323F3">
        <w:t>-bonds (1 - 4)</w:t>
      </w:r>
      <w:r w:rsidR="00E045F3">
        <w:t xml:space="preserve"> </w:t>
      </w:r>
      <w:r w:rsidR="00C502BD">
        <w:fldChar w:fldCharType="begin" w:fldLock="1"/>
      </w:r>
      <w:r w:rsidR="00EE137C">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C502BD">
        <w:fldChar w:fldCharType="separate"/>
      </w:r>
      <w:r w:rsidR="00EE137C" w:rsidRPr="00EE137C">
        <w:rPr>
          <w:noProof/>
        </w:rPr>
        <w:t>(Kidgell et al., 2019)</w:t>
      </w:r>
      <w:r w:rsidR="00C502BD">
        <w:fldChar w:fldCharType="end"/>
      </w:r>
      <w:r w:rsidRPr="00E323F3">
        <w:t>.</w:t>
      </w:r>
    </w:p>
    <w:p w14:paraId="377EF9AD" w14:textId="77777777" w:rsidR="00C03692" w:rsidRDefault="00C03692" w:rsidP="00600535">
      <w:pPr>
        <w:pStyle w:val="CETBodytext"/>
      </w:pPr>
    </w:p>
    <w:p w14:paraId="0287BF39" w14:textId="14D481A9" w:rsidR="00B95B40" w:rsidRPr="00DF517E" w:rsidRDefault="00DF517E" w:rsidP="00600535">
      <w:pPr>
        <w:pStyle w:val="CETBodytext"/>
      </w:pPr>
      <w:r w:rsidRPr="00DF517E">
        <w:t xml:space="preserve">The design results also showed that the organic sulfates are sensitive to temperature, but not the reducing sugars (Table 2), </w:t>
      </w:r>
      <w:r w:rsidR="00DB7F77">
        <w:t xml:space="preserve">which suggests </w:t>
      </w:r>
      <w:r w:rsidRPr="00DF517E">
        <w:t>that the sulfated polysaccharides present in the seaweed c</w:t>
      </w:r>
      <w:r w:rsidR="00DB7F77">
        <w:t>ould</w:t>
      </w:r>
      <w:r w:rsidRPr="00DF517E">
        <w:t xml:space="preserve"> be degraded by temperature. This is because the composition and chemical structure of the sulfated polysaccharides are different for each type of algae, resulting in modifications of the physicochemical properties of these polymers</w:t>
      </w:r>
      <w:r w:rsidR="00E01A5F">
        <w:t xml:space="preserve"> </w:t>
      </w:r>
      <w:r w:rsidR="00E01A5F">
        <w:fldChar w:fldCharType="begin" w:fldLock="1"/>
      </w:r>
      <w:r w:rsidR="00EE137C">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E01A5F">
        <w:fldChar w:fldCharType="separate"/>
      </w:r>
      <w:r w:rsidR="00EE137C" w:rsidRPr="00EE137C">
        <w:rPr>
          <w:noProof/>
        </w:rPr>
        <w:t>(Kidgell et al., 2019)</w:t>
      </w:r>
      <w:r w:rsidR="00E01A5F">
        <w:fldChar w:fldCharType="end"/>
      </w:r>
      <w:r w:rsidRPr="00DF517E">
        <w:t>.</w:t>
      </w:r>
      <w:r w:rsidR="00BD3E53" w:rsidRPr="00DF517E">
        <w:t xml:space="preserve"> </w:t>
      </w:r>
    </w:p>
    <w:p w14:paraId="33BAFA56" w14:textId="72E67C9E" w:rsidR="00162233" w:rsidRPr="00B57B36" w:rsidRDefault="007D2E5A" w:rsidP="0006382A">
      <w:pPr>
        <w:pStyle w:val="Estilo1"/>
        <w:numPr>
          <w:ilvl w:val="2"/>
          <w:numId w:val="1"/>
        </w:numPr>
      </w:pPr>
      <w:r w:rsidRPr="007D2E5A">
        <w:lastRenderedPageBreak/>
        <w:t xml:space="preserve">Selection of the </w:t>
      </w:r>
      <w:r w:rsidRPr="00A80221">
        <w:t>condition</w:t>
      </w:r>
      <w:r w:rsidR="00BE5413">
        <w:t>s</w:t>
      </w:r>
      <w:r w:rsidR="008329D5" w:rsidRPr="00A80221">
        <w:t xml:space="preserve"> </w:t>
      </w:r>
      <w:r w:rsidRPr="007D2E5A">
        <w:t xml:space="preserve">for obtaining </w:t>
      </w:r>
      <w:r w:rsidRPr="007D2E5A">
        <w:rPr>
          <w:i/>
        </w:rPr>
        <w:t>Sargassum sp.</w:t>
      </w:r>
      <w:r w:rsidRPr="007D2E5A">
        <w:t xml:space="preserve"> extract</w:t>
      </w:r>
    </w:p>
    <w:p w14:paraId="62019139" w14:textId="794575F0" w:rsidR="00BD3E53" w:rsidRPr="000D1B46" w:rsidRDefault="000D1B46" w:rsidP="00162233">
      <w:pPr>
        <w:pStyle w:val="CETBodytext"/>
      </w:pPr>
      <w:r w:rsidRPr="000D1B46">
        <w:t xml:space="preserve">The experimental design results showed that the maximum concentration of organic sulfates, which refer to sulfate esters present in the sulfated polysaccharides, was </w:t>
      </w:r>
      <w:r w:rsidRPr="00E45B48">
        <w:t>obtained</w:t>
      </w:r>
      <w:r w:rsidRPr="000D1B46">
        <w:t xml:space="preserve"> using a temperature of 90°</w:t>
      </w:r>
      <w:r>
        <w:t>C</w:t>
      </w:r>
      <w:r w:rsidRPr="000D1B46">
        <w:t xml:space="preserve"> and 11% of </w:t>
      </w:r>
      <w:r w:rsidR="009B4414">
        <w:t>biomass</w:t>
      </w:r>
      <w:r w:rsidRPr="000D1B46">
        <w:t xml:space="preserve"> concentration at pH 2.5 and 4.5 (Table 3). </w:t>
      </w:r>
      <w:r w:rsidR="009C0706" w:rsidRPr="009C0706">
        <w:t xml:space="preserve">These conditions allowed obtaining the maximum FRAP concentration in the </w:t>
      </w:r>
      <w:r w:rsidR="009C0706" w:rsidRPr="00E027AD">
        <w:rPr>
          <w:i/>
          <w:iCs/>
        </w:rPr>
        <w:t>Sargassum sp.</w:t>
      </w:r>
      <w:r w:rsidR="009C0706" w:rsidRPr="009C0706">
        <w:t xml:space="preserve"> </w:t>
      </w:r>
      <w:r w:rsidR="009C0706">
        <w:t>e</w:t>
      </w:r>
      <w:r w:rsidR="009C0706" w:rsidRPr="009C0706">
        <w:t>xtract</w:t>
      </w:r>
      <w:r w:rsidRPr="000D1B46">
        <w:t>, which resulted in 5.4 ± 1.0 and 6.1 ± 0.2 mM/L, respectively. However, in terms of FRAP concentration, no statistically significant differences were found between the two conditions (Table 3).</w:t>
      </w:r>
    </w:p>
    <w:p w14:paraId="47E2B09A" w14:textId="77777777" w:rsidR="000D1B46" w:rsidRPr="000D1B46" w:rsidRDefault="000D1B46" w:rsidP="00162233">
      <w:pPr>
        <w:pStyle w:val="CETBodytext"/>
      </w:pPr>
    </w:p>
    <w:p w14:paraId="18B8C6E6" w14:textId="63E0DFD8" w:rsidR="00162233" w:rsidRPr="00BF75A5" w:rsidRDefault="00162233" w:rsidP="00162233">
      <w:pPr>
        <w:pStyle w:val="CETBodytext"/>
        <w:rPr>
          <w:i/>
        </w:rPr>
      </w:pPr>
      <w:r w:rsidRPr="00BF75A5">
        <w:rPr>
          <w:i/>
        </w:rPr>
        <w:t>Tabl</w:t>
      </w:r>
      <w:r w:rsidR="007F0219" w:rsidRPr="00BF75A5">
        <w:rPr>
          <w:i/>
        </w:rPr>
        <w:t>e</w:t>
      </w:r>
      <w:r w:rsidR="00BF75A5">
        <w:rPr>
          <w:i/>
        </w:rPr>
        <w:t xml:space="preserve"> 3</w:t>
      </w:r>
      <w:r w:rsidR="007F0219" w:rsidRPr="00BF75A5">
        <w:rPr>
          <w:i/>
        </w:rPr>
        <w:t>:</w:t>
      </w:r>
      <w:r w:rsidRPr="00BF75A5">
        <w:rPr>
          <w:i/>
        </w:rPr>
        <w:t xml:space="preserve"> </w:t>
      </w:r>
      <w:r w:rsidR="007F0219" w:rsidRPr="00BF75A5">
        <w:rPr>
          <w:i/>
        </w:rPr>
        <w:t>Concentration of FRAP, reducing sugars, inorganic and organic sulfates in Sargassum sp. extracts.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1065"/>
        <w:gridCol w:w="1141"/>
        <w:gridCol w:w="1258"/>
        <w:gridCol w:w="1610"/>
        <w:gridCol w:w="1419"/>
        <w:gridCol w:w="1312"/>
      </w:tblGrid>
      <w:tr w:rsidR="00162233" w:rsidRPr="00323FE2" w14:paraId="47BB3C26" w14:textId="77777777" w:rsidTr="00EA2704">
        <w:tc>
          <w:tcPr>
            <w:tcW w:w="3188" w:type="dxa"/>
            <w:gridSpan w:val="3"/>
            <w:tcBorders>
              <w:top w:val="single" w:sz="12" w:space="0" w:color="008000"/>
              <w:bottom w:val="single" w:sz="6" w:space="0" w:color="008000"/>
            </w:tcBorders>
            <w:vAlign w:val="center"/>
          </w:tcPr>
          <w:p w14:paraId="0D96D75B" w14:textId="4E9EC3B9" w:rsidR="00162233" w:rsidRPr="007F0219" w:rsidRDefault="00162233" w:rsidP="004A266D">
            <w:pPr>
              <w:jc w:val="center"/>
              <w:rPr>
                <w:rFonts w:cs="Arial"/>
                <w:szCs w:val="18"/>
              </w:rPr>
            </w:pPr>
            <w:r w:rsidRPr="007F0219">
              <w:rPr>
                <w:rFonts w:cs="Arial"/>
                <w:i/>
                <w:szCs w:val="18"/>
              </w:rPr>
              <w:t>Sargassum sp.</w:t>
            </w:r>
            <w:r w:rsidR="00EA2704" w:rsidRPr="007F0219">
              <w:rPr>
                <w:rFonts w:cs="Arial"/>
                <w:szCs w:val="18"/>
              </w:rPr>
              <w:t xml:space="preserve"> extracts</w:t>
            </w:r>
          </w:p>
        </w:tc>
        <w:tc>
          <w:tcPr>
            <w:tcW w:w="1258" w:type="dxa"/>
            <w:tcBorders>
              <w:top w:val="single" w:sz="12" w:space="0" w:color="008000"/>
              <w:bottom w:val="single" w:sz="6" w:space="0" w:color="008000"/>
            </w:tcBorders>
            <w:vAlign w:val="center"/>
          </w:tcPr>
          <w:p w14:paraId="6ED08324" w14:textId="77777777" w:rsidR="00162233" w:rsidRPr="007F0219" w:rsidRDefault="00162233" w:rsidP="004A266D">
            <w:pPr>
              <w:jc w:val="center"/>
              <w:rPr>
                <w:rFonts w:cs="Arial"/>
                <w:szCs w:val="18"/>
              </w:rPr>
            </w:pPr>
            <w:r w:rsidRPr="007F0219">
              <w:rPr>
                <w:rFonts w:cs="Arial"/>
                <w:szCs w:val="18"/>
              </w:rPr>
              <w:t>FRAP (mM/L)</w:t>
            </w:r>
          </w:p>
        </w:tc>
        <w:tc>
          <w:tcPr>
            <w:tcW w:w="1610" w:type="dxa"/>
            <w:tcBorders>
              <w:top w:val="single" w:sz="12" w:space="0" w:color="008000"/>
              <w:bottom w:val="single" w:sz="6" w:space="0" w:color="008000"/>
            </w:tcBorders>
            <w:vAlign w:val="center"/>
          </w:tcPr>
          <w:p w14:paraId="5043E80D" w14:textId="6ACBA841" w:rsidR="00162233" w:rsidRPr="007F0219" w:rsidRDefault="00EA2704" w:rsidP="004A266D">
            <w:pPr>
              <w:jc w:val="center"/>
              <w:rPr>
                <w:rFonts w:cs="Arial"/>
                <w:szCs w:val="18"/>
              </w:rPr>
            </w:pPr>
            <w:r w:rsidRPr="007F0219">
              <w:rPr>
                <w:rFonts w:cs="Arial"/>
                <w:szCs w:val="18"/>
              </w:rPr>
              <w:t>Reducing sugars</w:t>
            </w:r>
            <w:r w:rsidR="00162233" w:rsidRPr="007F0219">
              <w:rPr>
                <w:rFonts w:cs="Arial"/>
                <w:szCs w:val="18"/>
              </w:rPr>
              <w:t xml:space="preserve"> (mg/L)</w:t>
            </w:r>
          </w:p>
        </w:tc>
        <w:tc>
          <w:tcPr>
            <w:tcW w:w="1419" w:type="dxa"/>
            <w:tcBorders>
              <w:top w:val="single" w:sz="12" w:space="0" w:color="008000"/>
              <w:bottom w:val="single" w:sz="6" w:space="0" w:color="008000"/>
            </w:tcBorders>
            <w:vAlign w:val="center"/>
          </w:tcPr>
          <w:p w14:paraId="582A0AD2" w14:textId="6F4B3DFC" w:rsidR="00162233" w:rsidRPr="007F0219" w:rsidRDefault="00EA2704" w:rsidP="004A266D">
            <w:pPr>
              <w:jc w:val="center"/>
              <w:rPr>
                <w:rFonts w:cs="Arial"/>
                <w:szCs w:val="18"/>
              </w:rPr>
            </w:pPr>
            <w:r w:rsidRPr="007F0219">
              <w:rPr>
                <w:rFonts w:cs="Arial"/>
                <w:szCs w:val="18"/>
              </w:rPr>
              <w:t xml:space="preserve">Inorganic </w:t>
            </w:r>
            <w:proofErr w:type="spellStart"/>
            <w:r w:rsidRPr="007F0219">
              <w:rPr>
                <w:rFonts w:cs="Arial"/>
                <w:szCs w:val="18"/>
              </w:rPr>
              <w:t>sulfates</w:t>
            </w:r>
            <w:proofErr w:type="spellEnd"/>
            <w:r w:rsidR="00162233" w:rsidRPr="007F0219">
              <w:rPr>
                <w:rFonts w:cs="Arial"/>
                <w:szCs w:val="18"/>
              </w:rPr>
              <w:t xml:space="preserve"> (mg/mL)</w:t>
            </w:r>
          </w:p>
        </w:tc>
        <w:tc>
          <w:tcPr>
            <w:tcW w:w="1312" w:type="dxa"/>
            <w:tcBorders>
              <w:top w:val="single" w:sz="12" w:space="0" w:color="008000"/>
              <w:bottom w:val="single" w:sz="6" w:space="0" w:color="008000"/>
            </w:tcBorders>
            <w:vAlign w:val="center"/>
          </w:tcPr>
          <w:p w14:paraId="5FEDFACC" w14:textId="5882CA81" w:rsidR="00162233" w:rsidRPr="007F0219" w:rsidRDefault="00EA2704" w:rsidP="004A266D">
            <w:pPr>
              <w:jc w:val="center"/>
              <w:rPr>
                <w:rFonts w:cs="Arial"/>
                <w:szCs w:val="18"/>
              </w:rPr>
            </w:pPr>
            <w:r w:rsidRPr="007F0219">
              <w:rPr>
                <w:rFonts w:cs="Arial"/>
                <w:szCs w:val="18"/>
              </w:rPr>
              <w:t xml:space="preserve">Organic </w:t>
            </w:r>
            <w:proofErr w:type="spellStart"/>
            <w:r w:rsidRPr="007F0219">
              <w:rPr>
                <w:rFonts w:cs="Arial"/>
                <w:szCs w:val="18"/>
              </w:rPr>
              <w:t>sulfates</w:t>
            </w:r>
            <w:proofErr w:type="spellEnd"/>
            <w:r w:rsidR="00162233" w:rsidRPr="007F0219">
              <w:rPr>
                <w:rFonts w:cs="Arial"/>
                <w:szCs w:val="18"/>
              </w:rPr>
              <w:t xml:space="preserve"> (mg/mL)</w:t>
            </w:r>
          </w:p>
        </w:tc>
      </w:tr>
      <w:tr w:rsidR="00162233" w:rsidRPr="00323FE2" w14:paraId="7D3D7A01" w14:textId="77777777" w:rsidTr="00EA2704">
        <w:tc>
          <w:tcPr>
            <w:tcW w:w="982" w:type="dxa"/>
            <w:tcBorders>
              <w:top w:val="single" w:sz="6" w:space="0" w:color="008000"/>
            </w:tcBorders>
            <w:vAlign w:val="center"/>
          </w:tcPr>
          <w:p w14:paraId="74FF680D" w14:textId="77777777" w:rsidR="00162233" w:rsidRPr="007F0219" w:rsidRDefault="00162233" w:rsidP="004A266D">
            <w:pPr>
              <w:jc w:val="center"/>
              <w:rPr>
                <w:rFonts w:cs="Arial"/>
                <w:szCs w:val="18"/>
              </w:rPr>
            </w:pPr>
            <w:r w:rsidRPr="007F0219">
              <w:rPr>
                <w:rFonts w:cs="Arial"/>
                <w:szCs w:val="18"/>
              </w:rPr>
              <w:t>70°C</w:t>
            </w:r>
          </w:p>
        </w:tc>
        <w:tc>
          <w:tcPr>
            <w:tcW w:w="1065" w:type="dxa"/>
            <w:tcBorders>
              <w:top w:val="single" w:sz="6" w:space="0" w:color="008000"/>
            </w:tcBorders>
            <w:vAlign w:val="center"/>
          </w:tcPr>
          <w:p w14:paraId="0547AA4B" w14:textId="77777777" w:rsidR="00162233" w:rsidRPr="007F0219" w:rsidRDefault="00162233" w:rsidP="004A266D">
            <w:pPr>
              <w:jc w:val="center"/>
              <w:rPr>
                <w:rFonts w:cs="Arial"/>
                <w:szCs w:val="18"/>
              </w:rPr>
            </w:pPr>
            <w:r w:rsidRPr="007F0219">
              <w:rPr>
                <w:rFonts w:cs="Arial"/>
                <w:szCs w:val="18"/>
              </w:rPr>
              <w:t>pH 2.5</w:t>
            </w:r>
          </w:p>
        </w:tc>
        <w:tc>
          <w:tcPr>
            <w:tcW w:w="1141" w:type="dxa"/>
            <w:tcBorders>
              <w:top w:val="single" w:sz="6" w:space="0" w:color="008000"/>
            </w:tcBorders>
            <w:vAlign w:val="center"/>
          </w:tcPr>
          <w:p w14:paraId="295CC48E" w14:textId="77777777" w:rsidR="00162233" w:rsidRPr="007F0219" w:rsidRDefault="00162233" w:rsidP="004A266D">
            <w:pPr>
              <w:jc w:val="center"/>
              <w:rPr>
                <w:rFonts w:cs="Arial"/>
                <w:szCs w:val="18"/>
              </w:rPr>
            </w:pPr>
            <w:r w:rsidRPr="007F0219">
              <w:rPr>
                <w:rFonts w:cs="Arial"/>
                <w:szCs w:val="18"/>
              </w:rPr>
              <w:t>[5%]</w:t>
            </w:r>
          </w:p>
        </w:tc>
        <w:tc>
          <w:tcPr>
            <w:tcW w:w="1258" w:type="dxa"/>
            <w:tcBorders>
              <w:top w:val="single" w:sz="6" w:space="0" w:color="008000"/>
            </w:tcBorders>
            <w:vAlign w:val="center"/>
          </w:tcPr>
          <w:p w14:paraId="66ED5619" w14:textId="77777777" w:rsidR="00162233" w:rsidRPr="007F0219" w:rsidRDefault="00162233" w:rsidP="004A266D">
            <w:pPr>
              <w:jc w:val="center"/>
              <w:rPr>
                <w:rFonts w:cs="Arial"/>
                <w:szCs w:val="18"/>
              </w:rPr>
            </w:pPr>
            <w:r w:rsidRPr="007F0219">
              <w:rPr>
                <w:rFonts w:cs="Arial"/>
                <w:szCs w:val="18"/>
              </w:rPr>
              <w:t>2.7 ± 0.1</w:t>
            </w:r>
            <w:r w:rsidRPr="007F0219">
              <w:rPr>
                <w:rFonts w:cs="Arial"/>
                <w:szCs w:val="18"/>
                <w:vertAlign w:val="superscript"/>
              </w:rPr>
              <w:t>d</w:t>
            </w:r>
          </w:p>
        </w:tc>
        <w:tc>
          <w:tcPr>
            <w:tcW w:w="1610" w:type="dxa"/>
            <w:tcBorders>
              <w:top w:val="single" w:sz="6" w:space="0" w:color="008000"/>
            </w:tcBorders>
            <w:vAlign w:val="center"/>
          </w:tcPr>
          <w:p w14:paraId="3A0CE71B" w14:textId="77777777" w:rsidR="00162233" w:rsidRPr="007F0219" w:rsidRDefault="00162233" w:rsidP="004A266D">
            <w:pPr>
              <w:jc w:val="center"/>
              <w:rPr>
                <w:rFonts w:cs="Arial"/>
                <w:szCs w:val="18"/>
              </w:rPr>
            </w:pPr>
            <w:r w:rsidRPr="007F0219">
              <w:rPr>
                <w:rFonts w:cs="Arial"/>
                <w:szCs w:val="18"/>
              </w:rPr>
              <w:t>578.7 ± 499.9</w:t>
            </w:r>
            <w:r w:rsidRPr="007F0219">
              <w:rPr>
                <w:rFonts w:cs="Arial"/>
                <w:szCs w:val="18"/>
                <w:vertAlign w:val="superscript"/>
              </w:rPr>
              <w:t>b</w:t>
            </w:r>
          </w:p>
        </w:tc>
        <w:tc>
          <w:tcPr>
            <w:tcW w:w="1419" w:type="dxa"/>
            <w:tcBorders>
              <w:top w:val="single" w:sz="6" w:space="0" w:color="008000"/>
            </w:tcBorders>
            <w:vAlign w:val="center"/>
          </w:tcPr>
          <w:p w14:paraId="1C0AD179" w14:textId="77777777" w:rsidR="00162233" w:rsidRPr="007F0219" w:rsidRDefault="00162233" w:rsidP="004A266D">
            <w:pPr>
              <w:jc w:val="center"/>
              <w:rPr>
                <w:rFonts w:cs="Arial"/>
                <w:szCs w:val="18"/>
              </w:rPr>
            </w:pPr>
            <w:r w:rsidRPr="007F0219">
              <w:rPr>
                <w:rFonts w:cs="Arial"/>
                <w:szCs w:val="18"/>
              </w:rPr>
              <w:t>0.8 ± 0.04</w:t>
            </w:r>
            <w:r w:rsidRPr="007F0219">
              <w:rPr>
                <w:rFonts w:cs="Arial"/>
                <w:szCs w:val="18"/>
                <w:vertAlign w:val="superscript"/>
              </w:rPr>
              <w:t>de</w:t>
            </w:r>
          </w:p>
        </w:tc>
        <w:tc>
          <w:tcPr>
            <w:tcW w:w="1312" w:type="dxa"/>
            <w:tcBorders>
              <w:top w:val="single" w:sz="6" w:space="0" w:color="008000"/>
            </w:tcBorders>
            <w:vAlign w:val="center"/>
          </w:tcPr>
          <w:p w14:paraId="6612E08D" w14:textId="77777777" w:rsidR="00162233" w:rsidRPr="007F0219" w:rsidRDefault="00162233" w:rsidP="004A266D">
            <w:pPr>
              <w:jc w:val="center"/>
              <w:rPr>
                <w:rFonts w:cs="Arial"/>
                <w:szCs w:val="18"/>
              </w:rPr>
            </w:pPr>
            <w:r w:rsidRPr="007F0219">
              <w:rPr>
                <w:rFonts w:cs="Arial"/>
                <w:szCs w:val="18"/>
              </w:rPr>
              <w:t>0.2 ± 0.04</w:t>
            </w:r>
            <w:r w:rsidRPr="007F0219">
              <w:rPr>
                <w:rFonts w:cs="Arial"/>
                <w:szCs w:val="18"/>
                <w:vertAlign w:val="superscript"/>
              </w:rPr>
              <w:t>bc</w:t>
            </w:r>
          </w:p>
        </w:tc>
      </w:tr>
      <w:tr w:rsidR="00162233" w:rsidRPr="00323FE2" w14:paraId="57FA0425" w14:textId="77777777" w:rsidTr="00EA2704">
        <w:tc>
          <w:tcPr>
            <w:tcW w:w="982" w:type="dxa"/>
            <w:vAlign w:val="center"/>
          </w:tcPr>
          <w:p w14:paraId="3A7E7113" w14:textId="77777777" w:rsidR="00162233" w:rsidRPr="007F0219" w:rsidRDefault="00162233" w:rsidP="004A266D">
            <w:pPr>
              <w:jc w:val="center"/>
              <w:rPr>
                <w:rFonts w:cs="Arial"/>
                <w:szCs w:val="18"/>
              </w:rPr>
            </w:pPr>
            <w:r w:rsidRPr="007F0219">
              <w:rPr>
                <w:rFonts w:cs="Arial"/>
                <w:szCs w:val="18"/>
              </w:rPr>
              <w:t>90°C</w:t>
            </w:r>
          </w:p>
        </w:tc>
        <w:tc>
          <w:tcPr>
            <w:tcW w:w="1065" w:type="dxa"/>
            <w:vAlign w:val="center"/>
          </w:tcPr>
          <w:p w14:paraId="1FC4B15C" w14:textId="77777777" w:rsidR="00162233" w:rsidRPr="007F0219" w:rsidRDefault="00162233" w:rsidP="004A266D">
            <w:pPr>
              <w:jc w:val="center"/>
              <w:rPr>
                <w:rFonts w:cs="Arial"/>
                <w:szCs w:val="18"/>
              </w:rPr>
            </w:pPr>
            <w:r w:rsidRPr="007F0219">
              <w:rPr>
                <w:rFonts w:cs="Arial"/>
                <w:szCs w:val="18"/>
              </w:rPr>
              <w:t>pH 2.5</w:t>
            </w:r>
          </w:p>
        </w:tc>
        <w:tc>
          <w:tcPr>
            <w:tcW w:w="1141" w:type="dxa"/>
            <w:vAlign w:val="center"/>
          </w:tcPr>
          <w:p w14:paraId="57D4C686" w14:textId="77777777" w:rsidR="00162233" w:rsidRPr="007F0219" w:rsidRDefault="00162233" w:rsidP="004A266D">
            <w:pPr>
              <w:jc w:val="center"/>
              <w:rPr>
                <w:rFonts w:cs="Arial"/>
                <w:szCs w:val="18"/>
              </w:rPr>
            </w:pPr>
            <w:r w:rsidRPr="007F0219">
              <w:rPr>
                <w:rFonts w:cs="Arial"/>
                <w:szCs w:val="18"/>
              </w:rPr>
              <w:t>[5%]</w:t>
            </w:r>
          </w:p>
        </w:tc>
        <w:tc>
          <w:tcPr>
            <w:tcW w:w="1258" w:type="dxa"/>
            <w:vAlign w:val="center"/>
          </w:tcPr>
          <w:p w14:paraId="18D0F40D" w14:textId="77777777" w:rsidR="00162233" w:rsidRPr="007F0219" w:rsidRDefault="00162233" w:rsidP="004A266D">
            <w:pPr>
              <w:jc w:val="center"/>
              <w:rPr>
                <w:rFonts w:cs="Arial"/>
                <w:szCs w:val="18"/>
              </w:rPr>
            </w:pPr>
            <w:r w:rsidRPr="007F0219">
              <w:rPr>
                <w:rFonts w:cs="Arial"/>
                <w:szCs w:val="18"/>
              </w:rPr>
              <w:t>4.2 ± 0.4</w:t>
            </w:r>
            <w:r w:rsidRPr="007F0219">
              <w:rPr>
                <w:rFonts w:cs="Arial"/>
                <w:szCs w:val="18"/>
                <w:vertAlign w:val="superscript"/>
              </w:rPr>
              <w:t>bc</w:t>
            </w:r>
          </w:p>
        </w:tc>
        <w:tc>
          <w:tcPr>
            <w:tcW w:w="1610" w:type="dxa"/>
            <w:vAlign w:val="center"/>
          </w:tcPr>
          <w:p w14:paraId="232F4362" w14:textId="77777777" w:rsidR="00162233" w:rsidRPr="007F0219" w:rsidRDefault="00162233" w:rsidP="004A266D">
            <w:pPr>
              <w:jc w:val="center"/>
              <w:rPr>
                <w:rFonts w:cs="Arial"/>
                <w:szCs w:val="18"/>
              </w:rPr>
            </w:pPr>
            <w:r w:rsidRPr="007F0219">
              <w:rPr>
                <w:rFonts w:cs="Arial"/>
                <w:szCs w:val="18"/>
              </w:rPr>
              <w:t>364 ± 175.3</w:t>
            </w:r>
            <w:r w:rsidRPr="007F0219">
              <w:rPr>
                <w:rFonts w:cs="Arial"/>
                <w:szCs w:val="18"/>
                <w:vertAlign w:val="superscript"/>
              </w:rPr>
              <w:t>b</w:t>
            </w:r>
          </w:p>
        </w:tc>
        <w:tc>
          <w:tcPr>
            <w:tcW w:w="1419" w:type="dxa"/>
            <w:vAlign w:val="center"/>
          </w:tcPr>
          <w:p w14:paraId="6738C3F7" w14:textId="77777777" w:rsidR="00162233" w:rsidRPr="007F0219" w:rsidRDefault="00162233" w:rsidP="004A266D">
            <w:pPr>
              <w:jc w:val="center"/>
              <w:rPr>
                <w:rFonts w:cs="Arial"/>
                <w:szCs w:val="18"/>
              </w:rPr>
            </w:pPr>
            <w:r w:rsidRPr="007F0219">
              <w:rPr>
                <w:rFonts w:cs="Arial"/>
                <w:szCs w:val="18"/>
              </w:rPr>
              <w:t>0.9 ± 0.04</w:t>
            </w:r>
            <w:r w:rsidRPr="007F0219">
              <w:rPr>
                <w:rFonts w:cs="Arial"/>
                <w:szCs w:val="18"/>
                <w:vertAlign w:val="superscript"/>
              </w:rPr>
              <w:t>cd</w:t>
            </w:r>
          </w:p>
        </w:tc>
        <w:tc>
          <w:tcPr>
            <w:tcW w:w="1312" w:type="dxa"/>
            <w:vAlign w:val="center"/>
          </w:tcPr>
          <w:p w14:paraId="07C2D1DF" w14:textId="77777777" w:rsidR="00162233" w:rsidRPr="007F0219" w:rsidRDefault="00162233" w:rsidP="004A266D">
            <w:pPr>
              <w:jc w:val="center"/>
              <w:rPr>
                <w:rFonts w:cs="Arial"/>
                <w:szCs w:val="18"/>
              </w:rPr>
            </w:pPr>
            <w:r w:rsidRPr="007F0219">
              <w:rPr>
                <w:rFonts w:cs="Arial"/>
                <w:szCs w:val="18"/>
              </w:rPr>
              <w:t>0.3 ± 0.07</w:t>
            </w:r>
            <w:r w:rsidRPr="007F0219">
              <w:rPr>
                <w:rFonts w:cs="Arial"/>
                <w:szCs w:val="18"/>
                <w:vertAlign w:val="superscript"/>
              </w:rPr>
              <w:t>abc</w:t>
            </w:r>
          </w:p>
        </w:tc>
      </w:tr>
      <w:tr w:rsidR="00162233" w:rsidRPr="00323FE2" w14:paraId="0D2ECE0E" w14:textId="77777777" w:rsidTr="00EA2704">
        <w:tc>
          <w:tcPr>
            <w:tcW w:w="982" w:type="dxa"/>
            <w:vAlign w:val="center"/>
          </w:tcPr>
          <w:p w14:paraId="2D7DD8C2" w14:textId="77777777" w:rsidR="00162233" w:rsidRPr="007F0219" w:rsidRDefault="00162233" w:rsidP="004A266D">
            <w:pPr>
              <w:jc w:val="center"/>
              <w:rPr>
                <w:rFonts w:cs="Arial"/>
                <w:szCs w:val="18"/>
              </w:rPr>
            </w:pPr>
            <w:r w:rsidRPr="007F0219">
              <w:rPr>
                <w:rFonts w:cs="Arial"/>
                <w:szCs w:val="18"/>
              </w:rPr>
              <w:t>70°C</w:t>
            </w:r>
          </w:p>
        </w:tc>
        <w:tc>
          <w:tcPr>
            <w:tcW w:w="1065" w:type="dxa"/>
            <w:vAlign w:val="center"/>
          </w:tcPr>
          <w:p w14:paraId="4FF151BC" w14:textId="77777777" w:rsidR="00162233" w:rsidRPr="007F0219" w:rsidRDefault="00162233" w:rsidP="004A266D">
            <w:pPr>
              <w:jc w:val="center"/>
              <w:rPr>
                <w:rFonts w:cs="Arial"/>
                <w:szCs w:val="18"/>
              </w:rPr>
            </w:pPr>
            <w:r w:rsidRPr="007F0219">
              <w:rPr>
                <w:rFonts w:cs="Arial"/>
                <w:szCs w:val="18"/>
              </w:rPr>
              <w:t>pH 2.5</w:t>
            </w:r>
          </w:p>
        </w:tc>
        <w:tc>
          <w:tcPr>
            <w:tcW w:w="1141" w:type="dxa"/>
            <w:vAlign w:val="center"/>
          </w:tcPr>
          <w:p w14:paraId="77D9692B" w14:textId="77777777" w:rsidR="00162233" w:rsidRPr="007F0219" w:rsidRDefault="00162233" w:rsidP="004A266D">
            <w:pPr>
              <w:jc w:val="center"/>
              <w:rPr>
                <w:rFonts w:cs="Arial"/>
                <w:szCs w:val="18"/>
              </w:rPr>
            </w:pPr>
            <w:r w:rsidRPr="007F0219">
              <w:rPr>
                <w:rFonts w:cs="Arial"/>
                <w:szCs w:val="18"/>
              </w:rPr>
              <w:t>[11%]</w:t>
            </w:r>
          </w:p>
        </w:tc>
        <w:tc>
          <w:tcPr>
            <w:tcW w:w="1258" w:type="dxa"/>
            <w:vAlign w:val="center"/>
          </w:tcPr>
          <w:p w14:paraId="6AA48896" w14:textId="77777777" w:rsidR="00162233" w:rsidRPr="007F0219" w:rsidRDefault="00162233" w:rsidP="004A266D">
            <w:pPr>
              <w:jc w:val="center"/>
              <w:rPr>
                <w:rFonts w:cs="Arial"/>
                <w:szCs w:val="18"/>
              </w:rPr>
            </w:pPr>
            <w:r w:rsidRPr="007F0219">
              <w:rPr>
                <w:rFonts w:cs="Arial"/>
                <w:szCs w:val="18"/>
              </w:rPr>
              <w:t>4.4 ± 1.3</w:t>
            </w:r>
            <w:r w:rsidRPr="007F0219">
              <w:rPr>
                <w:rFonts w:cs="Arial"/>
                <w:szCs w:val="18"/>
                <w:vertAlign w:val="superscript"/>
              </w:rPr>
              <w:t>cd</w:t>
            </w:r>
          </w:p>
        </w:tc>
        <w:tc>
          <w:tcPr>
            <w:tcW w:w="1610" w:type="dxa"/>
            <w:vAlign w:val="center"/>
          </w:tcPr>
          <w:p w14:paraId="4518C6F9" w14:textId="77777777" w:rsidR="00162233" w:rsidRPr="007F0219" w:rsidRDefault="00162233" w:rsidP="004A266D">
            <w:pPr>
              <w:jc w:val="center"/>
              <w:rPr>
                <w:rFonts w:cs="Arial"/>
                <w:szCs w:val="18"/>
              </w:rPr>
            </w:pPr>
            <w:r w:rsidRPr="007F0219">
              <w:rPr>
                <w:rFonts w:cs="Arial"/>
                <w:szCs w:val="18"/>
              </w:rPr>
              <w:t>1608.7 ± 1034.7ª</w:t>
            </w:r>
          </w:p>
        </w:tc>
        <w:tc>
          <w:tcPr>
            <w:tcW w:w="1419" w:type="dxa"/>
            <w:vAlign w:val="center"/>
          </w:tcPr>
          <w:p w14:paraId="6296082F" w14:textId="77777777" w:rsidR="00162233" w:rsidRPr="007F0219" w:rsidRDefault="00162233" w:rsidP="004A266D">
            <w:pPr>
              <w:jc w:val="center"/>
              <w:rPr>
                <w:rFonts w:cs="Arial"/>
                <w:szCs w:val="18"/>
              </w:rPr>
            </w:pPr>
            <w:r w:rsidRPr="007F0219">
              <w:rPr>
                <w:rFonts w:cs="Arial"/>
                <w:szCs w:val="18"/>
              </w:rPr>
              <w:t>1.1 ± 0.2</w:t>
            </w:r>
            <w:r w:rsidRPr="007F0219">
              <w:rPr>
                <w:rFonts w:cs="Arial"/>
                <w:szCs w:val="18"/>
                <w:vertAlign w:val="superscript"/>
              </w:rPr>
              <w:t>c</w:t>
            </w:r>
          </w:p>
        </w:tc>
        <w:tc>
          <w:tcPr>
            <w:tcW w:w="1312" w:type="dxa"/>
            <w:vAlign w:val="center"/>
          </w:tcPr>
          <w:p w14:paraId="30C4E916" w14:textId="77777777" w:rsidR="00162233" w:rsidRPr="007F0219" w:rsidRDefault="00162233" w:rsidP="004A266D">
            <w:pPr>
              <w:jc w:val="center"/>
              <w:rPr>
                <w:rFonts w:cs="Arial"/>
                <w:szCs w:val="18"/>
              </w:rPr>
            </w:pPr>
            <w:r w:rsidRPr="007F0219">
              <w:rPr>
                <w:rFonts w:cs="Arial"/>
                <w:szCs w:val="18"/>
              </w:rPr>
              <w:t>0.3 ± 0.1</w:t>
            </w:r>
            <w:r w:rsidRPr="007F0219">
              <w:rPr>
                <w:rFonts w:cs="Arial"/>
                <w:szCs w:val="18"/>
                <w:vertAlign w:val="superscript"/>
              </w:rPr>
              <w:t>ab</w:t>
            </w:r>
          </w:p>
        </w:tc>
      </w:tr>
      <w:tr w:rsidR="00162233" w:rsidRPr="00323FE2" w14:paraId="1A43A5B1" w14:textId="77777777" w:rsidTr="00EA2704">
        <w:tc>
          <w:tcPr>
            <w:tcW w:w="982" w:type="dxa"/>
            <w:vAlign w:val="center"/>
          </w:tcPr>
          <w:p w14:paraId="57A3B97D" w14:textId="77777777" w:rsidR="00162233" w:rsidRPr="007F0219" w:rsidRDefault="00162233" w:rsidP="004A266D">
            <w:pPr>
              <w:jc w:val="center"/>
              <w:rPr>
                <w:rFonts w:cs="Arial"/>
                <w:szCs w:val="18"/>
              </w:rPr>
            </w:pPr>
            <w:r w:rsidRPr="007F0219">
              <w:rPr>
                <w:rFonts w:cs="Arial"/>
                <w:szCs w:val="18"/>
              </w:rPr>
              <w:t>90°C</w:t>
            </w:r>
          </w:p>
        </w:tc>
        <w:tc>
          <w:tcPr>
            <w:tcW w:w="1065" w:type="dxa"/>
            <w:vAlign w:val="center"/>
          </w:tcPr>
          <w:p w14:paraId="3F0FD869" w14:textId="77777777" w:rsidR="00162233" w:rsidRPr="007F0219" w:rsidRDefault="00162233" w:rsidP="004A266D">
            <w:pPr>
              <w:jc w:val="center"/>
              <w:rPr>
                <w:rFonts w:cs="Arial"/>
                <w:szCs w:val="18"/>
              </w:rPr>
            </w:pPr>
            <w:r w:rsidRPr="007F0219">
              <w:rPr>
                <w:rFonts w:cs="Arial"/>
                <w:szCs w:val="18"/>
              </w:rPr>
              <w:t>pH 2.5</w:t>
            </w:r>
          </w:p>
        </w:tc>
        <w:tc>
          <w:tcPr>
            <w:tcW w:w="1141" w:type="dxa"/>
            <w:vAlign w:val="center"/>
          </w:tcPr>
          <w:p w14:paraId="5DEE127A" w14:textId="77777777" w:rsidR="00162233" w:rsidRPr="007F0219" w:rsidRDefault="00162233" w:rsidP="004A266D">
            <w:pPr>
              <w:jc w:val="center"/>
              <w:rPr>
                <w:rFonts w:cs="Arial"/>
                <w:szCs w:val="18"/>
              </w:rPr>
            </w:pPr>
            <w:r w:rsidRPr="007F0219">
              <w:rPr>
                <w:rFonts w:cs="Arial"/>
                <w:szCs w:val="18"/>
              </w:rPr>
              <w:t>[11%]</w:t>
            </w:r>
          </w:p>
        </w:tc>
        <w:tc>
          <w:tcPr>
            <w:tcW w:w="1258" w:type="dxa"/>
            <w:vAlign w:val="center"/>
          </w:tcPr>
          <w:p w14:paraId="1147C676" w14:textId="77777777" w:rsidR="00162233" w:rsidRPr="007F0219" w:rsidRDefault="00162233" w:rsidP="004A266D">
            <w:pPr>
              <w:jc w:val="center"/>
              <w:rPr>
                <w:rFonts w:cs="Arial"/>
                <w:szCs w:val="18"/>
              </w:rPr>
            </w:pPr>
            <w:r w:rsidRPr="007F0219">
              <w:rPr>
                <w:rFonts w:cs="Arial"/>
                <w:szCs w:val="18"/>
              </w:rPr>
              <w:t>5.4 ± 1.0</w:t>
            </w:r>
            <w:r w:rsidRPr="007F0219">
              <w:rPr>
                <w:rFonts w:cs="Arial"/>
                <w:szCs w:val="18"/>
                <w:vertAlign w:val="superscript"/>
              </w:rPr>
              <w:t>ab</w:t>
            </w:r>
          </w:p>
        </w:tc>
        <w:tc>
          <w:tcPr>
            <w:tcW w:w="1610" w:type="dxa"/>
            <w:vAlign w:val="center"/>
          </w:tcPr>
          <w:p w14:paraId="0995652D" w14:textId="77777777" w:rsidR="00162233" w:rsidRPr="007F0219" w:rsidRDefault="00162233" w:rsidP="004A266D">
            <w:pPr>
              <w:jc w:val="center"/>
              <w:rPr>
                <w:rFonts w:cs="Arial"/>
                <w:szCs w:val="18"/>
              </w:rPr>
            </w:pPr>
            <w:r w:rsidRPr="007F0219">
              <w:rPr>
                <w:rFonts w:cs="Arial"/>
                <w:szCs w:val="18"/>
              </w:rPr>
              <w:t>2798.9 ± 620.5ª</w:t>
            </w:r>
          </w:p>
        </w:tc>
        <w:tc>
          <w:tcPr>
            <w:tcW w:w="1419" w:type="dxa"/>
            <w:vAlign w:val="center"/>
          </w:tcPr>
          <w:p w14:paraId="43572DB0" w14:textId="77777777" w:rsidR="00162233" w:rsidRPr="007F0219" w:rsidRDefault="00162233" w:rsidP="004A266D">
            <w:pPr>
              <w:jc w:val="center"/>
              <w:rPr>
                <w:rFonts w:cs="Arial"/>
                <w:szCs w:val="18"/>
              </w:rPr>
            </w:pPr>
            <w:r w:rsidRPr="007F0219">
              <w:rPr>
                <w:rFonts w:cs="Arial"/>
                <w:szCs w:val="18"/>
              </w:rPr>
              <w:t>1.4 ± 0.03ª</w:t>
            </w:r>
          </w:p>
        </w:tc>
        <w:tc>
          <w:tcPr>
            <w:tcW w:w="1312" w:type="dxa"/>
            <w:vAlign w:val="center"/>
          </w:tcPr>
          <w:p w14:paraId="02809793" w14:textId="77777777" w:rsidR="00162233" w:rsidRPr="007F0219" w:rsidRDefault="00162233" w:rsidP="004A266D">
            <w:pPr>
              <w:jc w:val="center"/>
              <w:rPr>
                <w:rFonts w:cs="Arial"/>
                <w:szCs w:val="18"/>
              </w:rPr>
            </w:pPr>
            <w:r w:rsidRPr="007F0219">
              <w:rPr>
                <w:rFonts w:cs="Arial"/>
                <w:szCs w:val="18"/>
              </w:rPr>
              <w:t>0.4 ± 0.1ª</w:t>
            </w:r>
          </w:p>
        </w:tc>
      </w:tr>
      <w:tr w:rsidR="00162233" w:rsidRPr="00323FE2" w14:paraId="12427460" w14:textId="77777777" w:rsidTr="00EA2704">
        <w:tc>
          <w:tcPr>
            <w:tcW w:w="982" w:type="dxa"/>
            <w:vAlign w:val="center"/>
          </w:tcPr>
          <w:p w14:paraId="30382F20" w14:textId="77777777" w:rsidR="00162233" w:rsidRPr="007F0219" w:rsidRDefault="00162233" w:rsidP="004A266D">
            <w:pPr>
              <w:jc w:val="center"/>
              <w:rPr>
                <w:rFonts w:cs="Arial"/>
                <w:szCs w:val="18"/>
              </w:rPr>
            </w:pPr>
            <w:r w:rsidRPr="007F0219">
              <w:rPr>
                <w:rFonts w:cs="Arial"/>
                <w:szCs w:val="18"/>
              </w:rPr>
              <w:t>70°C</w:t>
            </w:r>
          </w:p>
        </w:tc>
        <w:tc>
          <w:tcPr>
            <w:tcW w:w="1065" w:type="dxa"/>
            <w:vAlign w:val="center"/>
          </w:tcPr>
          <w:p w14:paraId="7674B577" w14:textId="77777777" w:rsidR="00162233" w:rsidRPr="007F0219" w:rsidRDefault="00162233" w:rsidP="004A266D">
            <w:pPr>
              <w:jc w:val="center"/>
              <w:rPr>
                <w:rFonts w:cs="Arial"/>
                <w:szCs w:val="18"/>
              </w:rPr>
            </w:pPr>
            <w:r w:rsidRPr="007F0219">
              <w:rPr>
                <w:rFonts w:cs="Arial"/>
                <w:szCs w:val="18"/>
              </w:rPr>
              <w:t>pH 4.5</w:t>
            </w:r>
          </w:p>
        </w:tc>
        <w:tc>
          <w:tcPr>
            <w:tcW w:w="1141" w:type="dxa"/>
            <w:vAlign w:val="center"/>
          </w:tcPr>
          <w:p w14:paraId="76628413" w14:textId="77777777" w:rsidR="00162233" w:rsidRPr="007F0219" w:rsidRDefault="00162233" w:rsidP="004A266D">
            <w:pPr>
              <w:jc w:val="center"/>
              <w:rPr>
                <w:rFonts w:cs="Arial"/>
                <w:szCs w:val="18"/>
              </w:rPr>
            </w:pPr>
            <w:r w:rsidRPr="007F0219">
              <w:rPr>
                <w:rFonts w:cs="Arial"/>
                <w:szCs w:val="18"/>
              </w:rPr>
              <w:t>[5%]</w:t>
            </w:r>
          </w:p>
        </w:tc>
        <w:tc>
          <w:tcPr>
            <w:tcW w:w="1258" w:type="dxa"/>
            <w:vAlign w:val="center"/>
          </w:tcPr>
          <w:p w14:paraId="3C71B1D5" w14:textId="77777777" w:rsidR="00162233" w:rsidRPr="007F0219" w:rsidRDefault="00162233" w:rsidP="004A266D">
            <w:pPr>
              <w:jc w:val="center"/>
              <w:rPr>
                <w:rFonts w:cs="Arial"/>
                <w:szCs w:val="18"/>
              </w:rPr>
            </w:pPr>
            <w:r w:rsidRPr="007F0219">
              <w:rPr>
                <w:rFonts w:cs="Arial"/>
                <w:szCs w:val="18"/>
              </w:rPr>
              <w:t>2.6 ± 0.2</w:t>
            </w:r>
            <w:r w:rsidRPr="007F0219">
              <w:rPr>
                <w:rFonts w:cs="Arial"/>
                <w:szCs w:val="18"/>
                <w:vertAlign w:val="superscript"/>
              </w:rPr>
              <w:t>d</w:t>
            </w:r>
          </w:p>
        </w:tc>
        <w:tc>
          <w:tcPr>
            <w:tcW w:w="1610" w:type="dxa"/>
            <w:vAlign w:val="center"/>
          </w:tcPr>
          <w:p w14:paraId="70C005A1" w14:textId="77777777" w:rsidR="00162233" w:rsidRPr="007F0219" w:rsidRDefault="00162233" w:rsidP="004A266D">
            <w:pPr>
              <w:jc w:val="center"/>
              <w:rPr>
                <w:rFonts w:cs="Arial"/>
                <w:szCs w:val="18"/>
              </w:rPr>
            </w:pPr>
            <w:r w:rsidRPr="007F0219">
              <w:rPr>
                <w:rFonts w:cs="Arial"/>
                <w:szCs w:val="18"/>
              </w:rPr>
              <w:t>118.4 ± 12.1</w:t>
            </w:r>
            <w:r w:rsidRPr="007F0219">
              <w:rPr>
                <w:rFonts w:cs="Arial"/>
                <w:szCs w:val="18"/>
                <w:vertAlign w:val="superscript"/>
              </w:rPr>
              <w:t>b</w:t>
            </w:r>
          </w:p>
        </w:tc>
        <w:tc>
          <w:tcPr>
            <w:tcW w:w="1419" w:type="dxa"/>
            <w:vAlign w:val="center"/>
          </w:tcPr>
          <w:p w14:paraId="11A4D5BF" w14:textId="77777777" w:rsidR="00162233" w:rsidRPr="007F0219" w:rsidRDefault="00162233" w:rsidP="004A266D">
            <w:pPr>
              <w:jc w:val="center"/>
              <w:rPr>
                <w:rFonts w:cs="Arial"/>
                <w:szCs w:val="18"/>
              </w:rPr>
            </w:pPr>
            <w:r w:rsidRPr="007F0219">
              <w:rPr>
                <w:rFonts w:cs="Arial"/>
                <w:szCs w:val="18"/>
              </w:rPr>
              <w:t>0.7 ± 0.04</w:t>
            </w:r>
            <w:r w:rsidRPr="007F0219">
              <w:rPr>
                <w:rFonts w:cs="Arial"/>
                <w:szCs w:val="18"/>
                <w:vertAlign w:val="superscript"/>
              </w:rPr>
              <w:t>e</w:t>
            </w:r>
          </w:p>
        </w:tc>
        <w:tc>
          <w:tcPr>
            <w:tcW w:w="1312" w:type="dxa"/>
            <w:vAlign w:val="center"/>
          </w:tcPr>
          <w:p w14:paraId="7BA8B55C" w14:textId="77777777" w:rsidR="00162233" w:rsidRPr="007F0219" w:rsidRDefault="00162233" w:rsidP="004A266D">
            <w:pPr>
              <w:jc w:val="center"/>
              <w:rPr>
                <w:rFonts w:cs="Arial"/>
                <w:szCs w:val="18"/>
              </w:rPr>
            </w:pPr>
            <w:r w:rsidRPr="007F0219">
              <w:rPr>
                <w:rFonts w:cs="Arial"/>
                <w:szCs w:val="18"/>
              </w:rPr>
              <w:t>0.1 ± 0.04</w:t>
            </w:r>
            <w:r w:rsidRPr="007F0219">
              <w:rPr>
                <w:rFonts w:cs="Arial"/>
                <w:szCs w:val="18"/>
                <w:vertAlign w:val="superscript"/>
              </w:rPr>
              <w:t>c</w:t>
            </w:r>
          </w:p>
        </w:tc>
      </w:tr>
      <w:tr w:rsidR="00162233" w:rsidRPr="00323FE2" w14:paraId="72D3B2F0" w14:textId="77777777" w:rsidTr="00EA2704">
        <w:tc>
          <w:tcPr>
            <w:tcW w:w="982" w:type="dxa"/>
            <w:vAlign w:val="center"/>
          </w:tcPr>
          <w:p w14:paraId="1A77345C" w14:textId="77777777" w:rsidR="00162233" w:rsidRPr="007F0219" w:rsidRDefault="00162233" w:rsidP="004A266D">
            <w:pPr>
              <w:jc w:val="center"/>
              <w:rPr>
                <w:rFonts w:cs="Arial"/>
                <w:szCs w:val="18"/>
              </w:rPr>
            </w:pPr>
            <w:r w:rsidRPr="007F0219">
              <w:rPr>
                <w:rFonts w:cs="Arial"/>
                <w:szCs w:val="18"/>
              </w:rPr>
              <w:t>90°C</w:t>
            </w:r>
          </w:p>
        </w:tc>
        <w:tc>
          <w:tcPr>
            <w:tcW w:w="1065" w:type="dxa"/>
            <w:vAlign w:val="center"/>
          </w:tcPr>
          <w:p w14:paraId="6A206AB6" w14:textId="77777777" w:rsidR="00162233" w:rsidRPr="007F0219" w:rsidRDefault="00162233" w:rsidP="004A266D">
            <w:pPr>
              <w:jc w:val="center"/>
              <w:rPr>
                <w:rFonts w:cs="Arial"/>
                <w:szCs w:val="18"/>
              </w:rPr>
            </w:pPr>
            <w:r w:rsidRPr="007F0219">
              <w:rPr>
                <w:rFonts w:cs="Arial"/>
                <w:szCs w:val="18"/>
              </w:rPr>
              <w:t>pH 4.5</w:t>
            </w:r>
          </w:p>
        </w:tc>
        <w:tc>
          <w:tcPr>
            <w:tcW w:w="1141" w:type="dxa"/>
            <w:vAlign w:val="center"/>
          </w:tcPr>
          <w:p w14:paraId="78AAB848" w14:textId="77777777" w:rsidR="00162233" w:rsidRPr="007F0219" w:rsidRDefault="00162233" w:rsidP="004A266D">
            <w:pPr>
              <w:jc w:val="center"/>
              <w:rPr>
                <w:rFonts w:cs="Arial"/>
                <w:szCs w:val="18"/>
              </w:rPr>
            </w:pPr>
            <w:r w:rsidRPr="007F0219">
              <w:rPr>
                <w:rFonts w:cs="Arial"/>
                <w:szCs w:val="18"/>
              </w:rPr>
              <w:t>[5%]</w:t>
            </w:r>
          </w:p>
        </w:tc>
        <w:tc>
          <w:tcPr>
            <w:tcW w:w="1258" w:type="dxa"/>
            <w:vAlign w:val="center"/>
          </w:tcPr>
          <w:p w14:paraId="486C9F23" w14:textId="77777777" w:rsidR="00162233" w:rsidRPr="007F0219" w:rsidRDefault="00162233" w:rsidP="004A266D">
            <w:pPr>
              <w:jc w:val="center"/>
              <w:rPr>
                <w:rFonts w:cs="Arial"/>
                <w:szCs w:val="18"/>
              </w:rPr>
            </w:pPr>
            <w:r w:rsidRPr="007F0219">
              <w:rPr>
                <w:rFonts w:cs="Arial"/>
                <w:szCs w:val="18"/>
              </w:rPr>
              <w:t>3.4 ± 0.6</w:t>
            </w:r>
            <w:r w:rsidRPr="007F0219">
              <w:rPr>
                <w:rFonts w:cs="Arial"/>
                <w:szCs w:val="18"/>
                <w:vertAlign w:val="superscript"/>
              </w:rPr>
              <w:t>cd</w:t>
            </w:r>
          </w:p>
        </w:tc>
        <w:tc>
          <w:tcPr>
            <w:tcW w:w="1610" w:type="dxa"/>
            <w:vAlign w:val="center"/>
          </w:tcPr>
          <w:p w14:paraId="0A21DAA9" w14:textId="77777777" w:rsidR="00162233" w:rsidRPr="007F0219" w:rsidRDefault="00162233" w:rsidP="004A266D">
            <w:pPr>
              <w:jc w:val="center"/>
              <w:rPr>
                <w:rFonts w:cs="Arial"/>
                <w:szCs w:val="18"/>
              </w:rPr>
            </w:pPr>
            <w:r w:rsidRPr="007F0219">
              <w:rPr>
                <w:rFonts w:cs="Arial"/>
                <w:szCs w:val="18"/>
              </w:rPr>
              <w:t>192.7 ± 61.4</w:t>
            </w:r>
            <w:r w:rsidRPr="007F0219">
              <w:rPr>
                <w:rFonts w:cs="Arial"/>
                <w:szCs w:val="18"/>
                <w:vertAlign w:val="superscript"/>
              </w:rPr>
              <w:t>b</w:t>
            </w:r>
          </w:p>
        </w:tc>
        <w:tc>
          <w:tcPr>
            <w:tcW w:w="1419" w:type="dxa"/>
            <w:vAlign w:val="center"/>
          </w:tcPr>
          <w:p w14:paraId="4FCE29CF" w14:textId="77777777" w:rsidR="00162233" w:rsidRPr="007F0219" w:rsidRDefault="00162233" w:rsidP="004A266D">
            <w:pPr>
              <w:jc w:val="center"/>
              <w:rPr>
                <w:rFonts w:cs="Arial"/>
                <w:szCs w:val="18"/>
              </w:rPr>
            </w:pPr>
            <w:r w:rsidRPr="007F0219">
              <w:rPr>
                <w:rFonts w:cs="Arial"/>
                <w:szCs w:val="18"/>
              </w:rPr>
              <w:t>0.9 ± 0.09</w:t>
            </w:r>
            <w:r w:rsidRPr="007F0219">
              <w:rPr>
                <w:rFonts w:cs="Arial"/>
                <w:szCs w:val="18"/>
                <w:vertAlign w:val="superscript"/>
              </w:rPr>
              <w:t>cd</w:t>
            </w:r>
          </w:p>
        </w:tc>
        <w:tc>
          <w:tcPr>
            <w:tcW w:w="1312" w:type="dxa"/>
            <w:vAlign w:val="center"/>
          </w:tcPr>
          <w:p w14:paraId="3326CEAE" w14:textId="77777777" w:rsidR="00162233" w:rsidRPr="007F0219" w:rsidRDefault="00162233" w:rsidP="004A266D">
            <w:pPr>
              <w:jc w:val="center"/>
              <w:rPr>
                <w:rFonts w:cs="Arial"/>
                <w:szCs w:val="18"/>
              </w:rPr>
            </w:pPr>
            <w:r w:rsidRPr="007F0219">
              <w:rPr>
                <w:rFonts w:cs="Arial"/>
                <w:szCs w:val="18"/>
              </w:rPr>
              <w:t>0.1 ± 0.07</w:t>
            </w:r>
            <w:r w:rsidRPr="007F0219">
              <w:rPr>
                <w:rFonts w:cs="Arial"/>
                <w:szCs w:val="18"/>
                <w:vertAlign w:val="superscript"/>
              </w:rPr>
              <w:t>c</w:t>
            </w:r>
          </w:p>
        </w:tc>
      </w:tr>
      <w:tr w:rsidR="00162233" w:rsidRPr="00323FE2" w14:paraId="46A1D7F6" w14:textId="77777777" w:rsidTr="00EA2704">
        <w:tc>
          <w:tcPr>
            <w:tcW w:w="982" w:type="dxa"/>
            <w:vAlign w:val="center"/>
          </w:tcPr>
          <w:p w14:paraId="3E849733" w14:textId="77777777" w:rsidR="00162233" w:rsidRPr="007F0219" w:rsidRDefault="00162233" w:rsidP="004A266D">
            <w:pPr>
              <w:jc w:val="center"/>
              <w:rPr>
                <w:rFonts w:cs="Arial"/>
                <w:szCs w:val="18"/>
              </w:rPr>
            </w:pPr>
            <w:r w:rsidRPr="007F0219">
              <w:rPr>
                <w:rFonts w:cs="Arial"/>
                <w:szCs w:val="18"/>
              </w:rPr>
              <w:t>70°C</w:t>
            </w:r>
          </w:p>
        </w:tc>
        <w:tc>
          <w:tcPr>
            <w:tcW w:w="1065" w:type="dxa"/>
            <w:vAlign w:val="center"/>
          </w:tcPr>
          <w:p w14:paraId="7FA95CA9" w14:textId="77777777" w:rsidR="00162233" w:rsidRPr="007F0219" w:rsidRDefault="00162233" w:rsidP="004A266D">
            <w:pPr>
              <w:jc w:val="center"/>
              <w:rPr>
                <w:rFonts w:cs="Arial"/>
                <w:szCs w:val="18"/>
              </w:rPr>
            </w:pPr>
            <w:r w:rsidRPr="007F0219">
              <w:rPr>
                <w:rFonts w:cs="Arial"/>
                <w:szCs w:val="18"/>
              </w:rPr>
              <w:t>pH 4.5</w:t>
            </w:r>
          </w:p>
        </w:tc>
        <w:tc>
          <w:tcPr>
            <w:tcW w:w="1141" w:type="dxa"/>
            <w:vAlign w:val="center"/>
          </w:tcPr>
          <w:p w14:paraId="1F54B722" w14:textId="77777777" w:rsidR="00162233" w:rsidRPr="007F0219" w:rsidRDefault="00162233" w:rsidP="004A266D">
            <w:pPr>
              <w:jc w:val="center"/>
              <w:rPr>
                <w:rFonts w:cs="Arial"/>
                <w:szCs w:val="18"/>
              </w:rPr>
            </w:pPr>
            <w:r w:rsidRPr="007F0219">
              <w:rPr>
                <w:rFonts w:cs="Arial"/>
                <w:szCs w:val="18"/>
              </w:rPr>
              <w:t>[11%]</w:t>
            </w:r>
          </w:p>
        </w:tc>
        <w:tc>
          <w:tcPr>
            <w:tcW w:w="1258" w:type="dxa"/>
            <w:vAlign w:val="center"/>
          </w:tcPr>
          <w:p w14:paraId="10025105" w14:textId="77777777" w:rsidR="00162233" w:rsidRPr="007F0219" w:rsidRDefault="00162233" w:rsidP="004A266D">
            <w:pPr>
              <w:jc w:val="center"/>
              <w:rPr>
                <w:rFonts w:cs="Arial"/>
                <w:szCs w:val="18"/>
              </w:rPr>
            </w:pPr>
            <w:r w:rsidRPr="007F0219">
              <w:rPr>
                <w:rFonts w:cs="Arial"/>
                <w:szCs w:val="18"/>
              </w:rPr>
              <w:t>3.7 ± 0.3</w:t>
            </w:r>
            <w:r w:rsidRPr="007F0219">
              <w:rPr>
                <w:rFonts w:cs="Arial"/>
                <w:szCs w:val="18"/>
                <w:vertAlign w:val="superscript"/>
              </w:rPr>
              <w:t>cd</w:t>
            </w:r>
          </w:p>
        </w:tc>
        <w:tc>
          <w:tcPr>
            <w:tcW w:w="1610" w:type="dxa"/>
            <w:vAlign w:val="center"/>
          </w:tcPr>
          <w:p w14:paraId="43EAF319" w14:textId="77777777" w:rsidR="00162233" w:rsidRPr="007F0219" w:rsidRDefault="00162233" w:rsidP="004A266D">
            <w:pPr>
              <w:jc w:val="center"/>
              <w:rPr>
                <w:rFonts w:cs="Arial"/>
                <w:szCs w:val="18"/>
              </w:rPr>
            </w:pPr>
            <w:r w:rsidRPr="007F0219">
              <w:rPr>
                <w:rFonts w:cs="Arial"/>
                <w:szCs w:val="18"/>
              </w:rPr>
              <w:t>547.7 ± 294.1</w:t>
            </w:r>
            <w:r w:rsidRPr="007F0219">
              <w:rPr>
                <w:rFonts w:cs="Arial"/>
                <w:szCs w:val="18"/>
                <w:vertAlign w:val="superscript"/>
              </w:rPr>
              <w:t>b</w:t>
            </w:r>
          </w:p>
        </w:tc>
        <w:tc>
          <w:tcPr>
            <w:tcW w:w="1419" w:type="dxa"/>
            <w:vAlign w:val="center"/>
          </w:tcPr>
          <w:p w14:paraId="277CEE75" w14:textId="77777777" w:rsidR="00162233" w:rsidRPr="007F0219" w:rsidRDefault="00162233" w:rsidP="004A266D">
            <w:pPr>
              <w:jc w:val="center"/>
              <w:rPr>
                <w:rFonts w:cs="Arial"/>
                <w:szCs w:val="18"/>
              </w:rPr>
            </w:pPr>
            <w:r w:rsidRPr="007F0219">
              <w:rPr>
                <w:rFonts w:cs="Arial"/>
                <w:szCs w:val="18"/>
              </w:rPr>
              <w:t>1.0 ± 0.01</w:t>
            </w:r>
            <w:r w:rsidRPr="007F0219">
              <w:rPr>
                <w:rFonts w:cs="Arial"/>
                <w:szCs w:val="18"/>
                <w:vertAlign w:val="superscript"/>
              </w:rPr>
              <w:t>c</w:t>
            </w:r>
          </w:p>
        </w:tc>
        <w:tc>
          <w:tcPr>
            <w:tcW w:w="1312" w:type="dxa"/>
            <w:vAlign w:val="center"/>
          </w:tcPr>
          <w:p w14:paraId="7ED4D950" w14:textId="77777777" w:rsidR="00162233" w:rsidRPr="007F0219" w:rsidRDefault="00162233" w:rsidP="004A266D">
            <w:pPr>
              <w:jc w:val="center"/>
              <w:rPr>
                <w:rFonts w:cs="Arial"/>
                <w:szCs w:val="18"/>
              </w:rPr>
            </w:pPr>
            <w:r w:rsidRPr="007F0219">
              <w:rPr>
                <w:rFonts w:cs="Arial"/>
                <w:szCs w:val="18"/>
              </w:rPr>
              <w:t>0.3 ± 0.03</w:t>
            </w:r>
            <w:r w:rsidRPr="007F0219">
              <w:rPr>
                <w:rFonts w:cs="Arial"/>
                <w:szCs w:val="18"/>
                <w:vertAlign w:val="superscript"/>
              </w:rPr>
              <w:t>abc</w:t>
            </w:r>
          </w:p>
        </w:tc>
      </w:tr>
      <w:tr w:rsidR="00162233" w:rsidRPr="00323FE2" w14:paraId="3F8146C0" w14:textId="77777777" w:rsidTr="00EA2704">
        <w:tc>
          <w:tcPr>
            <w:tcW w:w="982" w:type="dxa"/>
            <w:tcBorders>
              <w:bottom w:val="single" w:sz="12" w:space="0" w:color="008000"/>
            </w:tcBorders>
            <w:vAlign w:val="center"/>
          </w:tcPr>
          <w:p w14:paraId="49E6C29F" w14:textId="77777777" w:rsidR="00162233" w:rsidRPr="007F0219" w:rsidRDefault="00162233" w:rsidP="004A266D">
            <w:pPr>
              <w:jc w:val="center"/>
              <w:rPr>
                <w:rFonts w:cs="Arial"/>
                <w:szCs w:val="18"/>
              </w:rPr>
            </w:pPr>
            <w:r w:rsidRPr="007F0219">
              <w:rPr>
                <w:rFonts w:cs="Arial"/>
                <w:szCs w:val="18"/>
              </w:rPr>
              <w:t>90°C</w:t>
            </w:r>
          </w:p>
        </w:tc>
        <w:tc>
          <w:tcPr>
            <w:tcW w:w="1065" w:type="dxa"/>
            <w:tcBorders>
              <w:bottom w:val="single" w:sz="12" w:space="0" w:color="008000"/>
            </w:tcBorders>
            <w:vAlign w:val="center"/>
          </w:tcPr>
          <w:p w14:paraId="34C527D4" w14:textId="77777777" w:rsidR="00162233" w:rsidRPr="007F0219" w:rsidRDefault="00162233" w:rsidP="004A266D">
            <w:pPr>
              <w:jc w:val="center"/>
              <w:rPr>
                <w:rFonts w:cs="Arial"/>
                <w:szCs w:val="18"/>
              </w:rPr>
            </w:pPr>
            <w:r w:rsidRPr="007F0219">
              <w:rPr>
                <w:rFonts w:cs="Arial"/>
                <w:szCs w:val="18"/>
              </w:rPr>
              <w:t>pH 4.5</w:t>
            </w:r>
          </w:p>
        </w:tc>
        <w:tc>
          <w:tcPr>
            <w:tcW w:w="1141" w:type="dxa"/>
            <w:tcBorders>
              <w:bottom w:val="single" w:sz="12" w:space="0" w:color="008000"/>
            </w:tcBorders>
            <w:vAlign w:val="center"/>
          </w:tcPr>
          <w:p w14:paraId="0A95B03C" w14:textId="77777777" w:rsidR="00162233" w:rsidRPr="007F0219" w:rsidRDefault="00162233" w:rsidP="004A266D">
            <w:pPr>
              <w:jc w:val="center"/>
              <w:rPr>
                <w:rFonts w:cs="Arial"/>
                <w:szCs w:val="18"/>
              </w:rPr>
            </w:pPr>
            <w:r w:rsidRPr="007F0219">
              <w:rPr>
                <w:rFonts w:cs="Arial"/>
                <w:szCs w:val="18"/>
              </w:rPr>
              <w:t>[11%]</w:t>
            </w:r>
          </w:p>
        </w:tc>
        <w:tc>
          <w:tcPr>
            <w:tcW w:w="1258" w:type="dxa"/>
            <w:tcBorders>
              <w:bottom w:val="single" w:sz="12" w:space="0" w:color="008000"/>
            </w:tcBorders>
            <w:vAlign w:val="center"/>
          </w:tcPr>
          <w:p w14:paraId="2B969476" w14:textId="77777777" w:rsidR="00162233" w:rsidRPr="007F0219" w:rsidRDefault="00162233" w:rsidP="004A266D">
            <w:pPr>
              <w:jc w:val="center"/>
              <w:rPr>
                <w:rFonts w:cs="Arial"/>
                <w:szCs w:val="18"/>
              </w:rPr>
            </w:pPr>
            <w:r w:rsidRPr="007F0219">
              <w:rPr>
                <w:rFonts w:cs="Arial"/>
                <w:szCs w:val="18"/>
              </w:rPr>
              <w:t>6.1 ± 0.2</w:t>
            </w:r>
            <w:r w:rsidRPr="007F0219">
              <w:rPr>
                <w:rFonts w:cs="Arial"/>
                <w:szCs w:val="18"/>
                <w:vertAlign w:val="superscript"/>
              </w:rPr>
              <w:t>a</w:t>
            </w:r>
          </w:p>
        </w:tc>
        <w:tc>
          <w:tcPr>
            <w:tcW w:w="1610" w:type="dxa"/>
            <w:tcBorders>
              <w:bottom w:val="single" w:sz="12" w:space="0" w:color="008000"/>
            </w:tcBorders>
            <w:vAlign w:val="center"/>
          </w:tcPr>
          <w:p w14:paraId="4ACA4237" w14:textId="77777777" w:rsidR="00162233" w:rsidRPr="007F0219" w:rsidRDefault="00162233" w:rsidP="004A266D">
            <w:pPr>
              <w:jc w:val="center"/>
              <w:rPr>
                <w:rFonts w:cs="Arial"/>
                <w:szCs w:val="18"/>
              </w:rPr>
            </w:pPr>
            <w:r w:rsidRPr="007F0219">
              <w:rPr>
                <w:rFonts w:cs="Arial"/>
                <w:szCs w:val="18"/>
              </w:rPr>
              <w:t>1549.4 ± 1142</w:t>
            </w:r>
            <w:r w:rsidRPr="007F0219">
              <w:rPr>
                <w:rFonts w:cs="Arial"/>
                <w:szCs w:val="18"/>
                <w:vertAlign w:val="superscript"/>
              </w:rPr>
              <w:t>ab</w:t>
            </w:r>
          </w:p>
        </w:tc>
        <w:tc>
          <w:tcPr>
            <w:tcW w:w="1419" w:type="dxa"/>
            <w:tcBorders>
              <w:bottom w:val="single" w:sz="12" w:space="0" w:color="008000"/>
            </w:tcBorders>
            <w:vAlign w:val="center"/>
          </w:tcPr>
          <w:p w14:paraId="4C5B1F88" w14:textId="77777777" w:rsidR="00162233" w:rsidRPr="007F0219" w:rsidRDefault="00162233" w:rsidP="004A266D">
            <w:pPr>
              <w:jc w:val="center"/>
              <w:rPr>
                <w:rFonts w:cs="Arial"/>
                <w:szCs w:val="18"/>
              </w:rPr>
            </w:pPr>
            <w:r w:rsidRPr="007F0219">
              <w:rPr>
                <w:rFonts w:cs="Arial"/>
                <w:szCs w:val="18"/>
              </w:rPr>
              <w:t>1.2 ± 0.06</w:t>
            </w:r>
            <w:r w:rsidRPr="007F0219">
              <w:rPr>
                <w:rFonts w:cs="Arial"/>
                <w:szCs w:val="18"/>
                <w:vertAlign w:val="superscript"/>
              </w:rPr>
              <w:t>b</w:t>
            </w:r>
          </w:p>
        </w:tc>
        <w:tc>
          <w:tcPr>
            <w:tcW w:w="1312" w:type="dxa"/>
            <w:tcBorders>
              <w:bottom w:val="single" w:sz="12" w:space="0" w:color="008000"/>
            </w:tcBorders>
            <w:vAlign w:val="center"/>
          </w:tcPr>
          <w:p w14:paraId="5ED57F4B" w14:textId="77777777" w:rsidR="00162233" w:rsidRPr="007F0219" w:rsidRDefault="00162233" w:rsidP="004A266D">
            <w:pPr>
              <w:jc w:val="center"/>
              <w:rPr>
                <w:rFonts w:cs="Arial"/>
                <w:szCs w:val="18"/>
              </w:rPr>
            </w:pPr>
            <w:r w:rsidRPr="007F0219">
              <w:rPr>
                <w:rFonts w:cs="Arial"/>
                <w:szCs w:val="18"/>
              </w:rPr>
              <w:t>0.4 ± 0.09</w:t>
            </w:r>
            <w:r w:rsidRPr="007F0219">
              <w:rPr>
                <w:rFonts w:cs="Arial"/>
                <w:szCs w:val="18"/>
                <w:vertAlign w:val="superscript"/>
              </w:rPr>
              <w:t>a</w:t>
            </w:r>
          </w:p>
        </w:tc>
      </w:tr>
    </w:tbl>
    <w:p w14:paraId="4C221926" w14:textId="61EDAA45" w:rsidR="00162233" w:rsidRPr="00EA2704" w:rsidRDefault="00162233" w:rsidP="00162233">
      <w:pPr>
        <w:pStyle w:val="CETBodytext"/>
      </w:pPr>
      <w:r w:rsidRPr="00EA2704">
        <w:t>a, b, c, d, e:</w:t>
      </w:r>
      <w:r w:rsidR="00EA2704" w:rsidRPr="00EA2704">
        <w:t xml:space="preserve"> Tukey's statistical analysis with a 95% confidence interval. Means that do not share a letter are statistically significant.</w:t>
      </w:r>
    </w:p>
    <w:p w14:paraId="33A917E3" w14:textId="4B84F0A7" w:rsidR="00162233" w:rsidRDefault="00162233" w:rsidP="00162233">
      <w:pPr>
        <w:pStyle w:val="CETBodytext"/>
        <w:rPr>
          <w:highlight w:val="yellow"/>
        </w:rPr>
      </w:pPr>
    </w:p>
    <w:p w14:paraId="1DBABF39" w14:textId="08FF2223" w:rsidR="00DF747B" w:rsidRDefault="001645B0" w:rsidP="00162233">
      <w:pPr>
        <w:pStyle w:val="CETBodytext"/>
        <w:rPr>
          <w:noProof/>
        </w:rPr>
      </w:pPr>
      <w:r w:rsidRPr="004A266D">
        <w:t>Therefore, the condition that allowed maximizing the concentration of organic sulfates</w:t>
      </w:r>
      <w:r w:rsidR="0062417B">
        <w:t xml:space="preserve"> and FRAP</w:t>
      </w:r>
      <w:r w:rsidRPr="004A266D">
        <w:t xml:space="preserve"> in the </w:t>
      </w:r>
      <w:r w:rsidRPr="00A80221">
        <w:rPr>
          <w:i/>
        </w:rPr>
        <w:t>Sargassum</w:t>
      </w:r>
      <w:r w:rsidRPr="004A266D">
        <w:t xml:space="preserve"> </w:t>
      </w:r>
      <w:r w:rsidRPr="00A80221">
        <w:rPr>
          <w:i/>
        </w:rPr>
        <w:t>sp.</w:t>
      </w:r>
      <w:r w:rsidRPr="004A266D">
        <w:t xml:space="preserve"> extract was to use 90°C, pH 4.5 and 11% </w:t>
      </w:r>
      <w:r w:rsidR="009B4414">
        <w:t>biomass</w:t>
      </w:r>
      <w:r w:rsidRPr="004A266D">
        <w:t xml:space="preserve"> concentration, giving values of </w:t>
      </w:r>
      <w:r>
        <w:t>6.1</w:t>
      </w:r>
      <w:r w:rsidRPr="004A266D">
        <w:t xml:space="preserve"> ± </w:t>
      </w:r>
      <w:r>
        <w:t>0.2</w:t>
      </w:r>
      <w:r w:rsidRPr="004A266D">
        <w:t xml:space="preserve"> mM/L of FRAP, </w:t>
      </w:r>
      <w:r>
        <w:t>1549.4</w:t>
      </w:r>
      <w:r w:rsidRPr="004A266D">
        <w:t xml:space="preserve"> ± </w:t>
      </w:r>
      <w:r>
        <w:t>1142</w:t>
      </w:r>
      <w:r w:rsidRPr="004A266D">
        <w:t xml:space="preserve"> mg/L of reducing sugars, 1.</w:t>
      </w:r>
      <w:r>
        <w:t>2</w:t>
      </w:r>
      <w:r w:rsidRPr="004A266D">
        <w:t xml:space="preserve"> ± 0.0</w:t>
      </w:r>
      <w:r>
        <w:t>6</w:t>
      </w:r>
      <w:r w:rsidRPr="004A266D">
        <w:t xml:space="preserve"> and 0.4 ± 0.</w:t>
      </w:r>
      <w:r>
        <w:t>09</w:t>
      </w:r>
      <w:r w:rsidRPr="004A266D">
        <w:t xml:space="preserve"> mg/mL of inorganic and </w:t>
      </w:r>
      <w:r w:rsidRPr="00E6560C">
        <w:t>organic sulfates</w:t>
      </w:r>
      <w:r w:rsidR="00967103" w:rsidRPr="00E6560C">
        <w:t>.</w:t>
      </w:r>
      <w:r w:rsidR="00E321C2" w:rsidRPr="00E6560C">
        <w:rPr>
          <w:noProof/>
        </w:rPr>
        <w:t xml:space="preserve"> </w:t>
      </w:r>
      <w:r w:rsidR="00D869F7" w:rsidRPr="00E6560C">
        <w:rPr>
          <w:noProof/>
        </w:rPr>
        <w:t xml:space="preserve">These results are in agreement with data reported by Ahmouda et al. </w:t>
      </w:r>
      <w:r w:rsidR="00A52560" w:rsidRPr="001D4F12">
        <w:rPr>
          <w:noProof/>
        </w:rPr>
        <w:fldChar w:fldCharType="begin" w:fldLock="1"/>
      </w:r>
      <w:r w:rsidR="006258B4">
        <w:rPr>
          <w:noProof/>
        </w:rPr>
        <w:instrText>ADDIN CSL_CITATION {"citationItems":[{"id":"ITEM-1","itemData":{"DOI":"10.1016/j.scp.2021.100563","ISSN":"23525541","abstract":"The Ferrous Reducing Antioxidant Potential (FRAP) of aqueous plant ex-tracts is investigated for the purpose of studying FRAP effect on Fe2+ va-cancies formation in greenly synthesized wüstite (FexO) nanoparticles. This study used four aqueous plant extracts as reducing agents with FeCl3 as pre-cursor to synthesize FexO nanoparticles. Plants dealt with in this study are Rosemarinus officinalis.L, Juniperus phoenicia.(L), Matricaria Pubescent.(L), and Artemisia herba-alba.(L). In this paper, a novel study that investigates how variation in FRAP impacts the formation of cation vacancies within greenly synthesized FexO samples was conducted. The synthesized samples are characterized by XRD, SEM, ATR-FTIR, and UV–Vis. Therefore, lattice parameters are calculated through XRD data, and then wüstite compositions are calculated using McCammon equation. Results show that the FRAP has a clear effect on Fe2+ vacancies formation within wüstite nanoparticles. In- deed, The increase in the FRAP leads to a decrease in Fe2+ defects and consequently an increase in the grain size. Furthermore, studying iron va-cancies’ effect on wüstite formation thermodynamic showed that free energy of wüstite formation ΔG0f FeO (x) is impacted by cation vacancies and hence by FRAP.","author":[{"dropping-particle":"","family":"Ahmouda","given":"Kaouthar","non-dropping-particle":"","parse-names":false,"suffix":""},{"dropping-particle":"","family":"Benhaoua","given":"Boubaker","non-dropping-particle":"","parse-names":false,"suffix":""},{"dropping-particle":"","family":"Laouini","given":"Salah Eddine","non-dropping-particle":"","parse-names":false,"suffix":""},{"dropping-particle":"","family":"Labbi","given":"Asma","non-dropping-particle":"","parse-names":false,"suffix":""}],"container-title":"Sustainable Chemistry and Pharmacy","id":"ITEM-1","issue":"November 2021","issued":{"date-parts":[["2022"]]},"page":"100563","publisher":"Elsevier B.V.","title":"Plant extract FRAP effect on cation vacancies formation in greenly synthesized wüstite (FexO) nanoparticles: A new contribution","type":"article-journal","volume":"25"},"uris":["http://www.mendeley.com/documents/?uuid=a6e89b26-6479-4af1-871b-65240bde8965"]}],"mendeley":{"formattedCitation":"(Ahmouda et al., 2022)","manualFormatting":"(2022)","plainTextFormattedCitation":"(Ahmouda et al., 2022)","previouslyFormattedCitation":"(Ahmouda et al., 2022)"},"properties":{"noteIndex":0},"schema":"https://github.com/citation-style-language/schema/raw/master/csl-citation.json"}</w:instrText>
      </w:r>
      <w:r w:rsidR="00A52560" w:rsidRPr="001D4F12">
        <w:rPr>
          <w:noProof/>
        </w:rPr>
        <w:fldChar w:fldCharType="separate"/>
      </w:r>
      <w:r w:rsidR="00EE137C" w:rsidRPr="00E6560C">
        <w:rPr>
          <w:noProof/>
        </w:rPr>
        <w:t>(2022)</w:t>
      </w:r>
      <w:r w:rsidR="00A52560" w:rsidRPr="001D4F12">
        <w:rPr>
          <w:noProof/>
        </w:rPr>
        <w:fldChar w:fldCharType="end"/>
      </w:r>
      <w:r w:rsidR="00D869F7" w:rsidRPr="00E6560C">
        <w:rPr>
          <w:noProof/>
        </w:rPr>
        <w:t xml:space="preserve">, in which a </w:t>
      </w:r>
      <w:r w:rsidR="001C1DF4" w:rsidRPr="001D4F12">
        <w:rPr>
          <w:noProof/>
        </w:rPr>
        <w:t>FRAP concentration</w:t>
      </w:r>
      <w:r w:rsidR="00D869F7" w:rsidRPr="001D4F12">
        <w:rPr>
          <w:noProof/>
        </w:rPr>
        <w:t xml:space="preserve"> from 1.6 to 6.9 mM</w:t>
      </w:r>
      <w:r w:rsidR="001C1DF4" w:rsidRPr="00E6560C">
        <w:rPr>
          <w:noProof/>
        </w:rPr>
        <w:t xml:space="preserve"> </w:t>
      </w:r>
      <w:r w:rsidR="00D869F7" w:rsidRPr="00E6560C">
        <w:rPr>
          <w:noProof/>
        </w:rPr>
        <w:t xml:space="preserve">was obtained from </w:t>
      </w:r>
      <w:r w:rsidR="00D869F7" w:rsidRPr="00E6560C">
        <w:rPr>
          <w:i/>
          <w:iCs/>
          <w:noProof/>
        </w:rPr>
        <w:t>Rosemarinus officinalis</w:t>
      </w:r>
      <w:r w:rsidR="00D869F7" w:rsidRPr="00E6560C">
        <w:rPr>
          <w:noProof/>
        </w:rPr>
        <w:t xml:space="preserve">, </w:t>
      </w:r>
      <w:r w:rsidR="00D869F7" w:rsidRPr="00E6560C">
        <w:rPr>
          <w:i/>
          <w:iCs/>
          <w:noProof/>
        </w:rPr>
        <w:t>Juniperus phoenicia</w:t>
      </w:r>
      <w:r w:rsidR="00D869F7" w:rsidRPr="00E6560C">
        <w:rPr>
          <w:noProof/>
        </w:rPr>
        <w:t xml:space="preserve">, </w:t>
      </w:r>
      <w:r w:rsidR="00D869F7" w:rsidRPr="00E6560C">
        <w:rPr>
          <w:i/>
          <w:iCs/>
          <w:noProof/>
        </w:rPr>
        <w:t xml:space="preserve">Matricaria </w:t>
      </w:r>
      <w:r w:rsidR="006A34D1" w:rsidRPr="00E6560C">
        <w:rPr>
          <w:i/>
          <w:iCs/>
          <w:noProof/>
        </w:rPr>
        <w:t>p</w:t>
      </w:r>
      <w:r w:rsidR="00D869F7" w:rsidRPr="00E6560C">
        <w:rPr>
          <w:i/>
          <w:iCs/>
          <w:noProof/>
        </w:rPr>
        <w:t>ubescen</w:t>
      </w:r>
      <w:r w:rsidR="00D869F7" w:rsidRPr="00E6560C">
        <w:rPr>
          <w:noProof/>
        </w:rPr>
        <w:t xml:space="preserve">t, and </w:t>
      </w:r>
      <w:r w:rsidR="00D869F7" w:rsidRPr="00E6560C">
        <w:rPr>
          <w:i/>
          <w:iCs/>
          <w:noProof/>
        </w:rPr>
        <w:t>Artemisia herba-alba</w:t>
      </w:r>
      <w:r w:rsidR="00D869F7" w:rsidRPr="00E6560C">
        <w:rPr>
          <w:noProof/>
        </w:rPr>
        <w:t xml:space="preserve"> plant extracts for the synthesis of iron oxide nanoparticles. On the other hand, in the synthesis of silver and cadmium sulfide nanoparticles, values of </w:t>
      </w:r>
      <w:r w:rsidR="00D869F7" w:rsidRPr="001D4F12">
        <w:rPr>
          <w:noProof/>
        </w:rPr>
        <w:t>0.034 and 3.2 mM FR</w:t>
      </w:r>
      <w:r w:rsidR="00F00615" w:rsidRPr="001D4F12">
        <w:rPr>
          <w:noProof/>
        </w:rPr>
        <w:t>A</w:t>
      </w:r>
      <w:r w:rsidR="00D869F7" w:rsidRPr="001D4F12">
        <w:rPr>
          <w:noProof/>
        </w:rPr>
        <w:t>P</w:t>
      </w:r>
      <w:r w:rsidR="00D869F7" w:rsidRPr="00E6560C">
        <w:rPr>
          <w:noProof/>
        </w:rPr>
        <w:t xml:space="preserve"> </w:t>
      </w:r>
      <w:r w:rsidR="00F00615" w:rsidRPr="00E6560C">
        <w:rPr>
          <w:noProof/>
        </w:rPr>
        <w:t xml:space="preserve">respectively, </w:t>
      </w:r>
      <w:r w:rsidR="00D869F7" w:rsidRPr="00E6560C">
        <w:rPr>
          <w:noProof/>
        </w:rPr>
        <w:t>have been reported</w:t>
      </w:r>
      <w:r w:rsidR="00FF2F4A" w:rsidRPr="00E6560C">
        <w:rPr>
          <w:noProof/>
        </w:rPr>
        <w:t xml:space="preserve"> </w:t>
      </w:r>
      <w:r w:rsidR="00E92113" w:rsidRPr="001D4F12">
        <w:rPr>
          <w:noProof/>
        </w:rPr>
        <w:fldChar w:fldCharType="begin" w:fldLock="1"/>
      </w:r>
      <w:r w:rsidR="00EE137C" w:rsidRPr="00E6560C">
        <w:rPr>
          <w:noProof/>
        </w:rPr>
        <w:instrText>ADDIN CSL_CITATION {"citationItems":[{"id":"ITEM-1","itemData":{"DOI":"10.1016/j.egypro.2016.05.031","ISSN":"18766102","abstract":"A facile, green and eco-friendly approach was introduced for the synthesis of silver nanoparticles using dragon fruit peel extract (DPE) as reducing as well as capping agent. The effect of pH on the formation of silver nanoparticles was studied utilizing various characterization techniques including UV-Vis spectroscopy, FTIR, XRD, EDX, TEM and zeta potential. The formation of silver nanoparticles was confirmed by UV-Vis spectroscopy with the presence of surface plasmon resonance band between 430 and 460 nm. TEM images demonstrated that the size of synthesized silver nanoparticles was reduced with an increase of pH. The silver nanoparticles was spherical in shape with a negative charge on the surface of the nanoparticles. The size of the nanoparticles was in the range of 25-26 nm. XRD and EDX analysis indicated that the biosynthesized nanoparticles were crystallized in face centered cubic symmetry with the existence of Ag2O. A possible organic compound in DPE involving in the reduction and stabilization of nanoparticles was revealed by FTIR. Moreover, the synthesized nanoparticles exhibited effective antibacterial action against representative pathogenic bacteria.","author":[{"dropping-particle":"","family":"Phongtongpasuk","given":"Siriporn","non-dropping-particle":"","parse-names":false,"suffix":""},{"dropping-particle":"","family":"Poadang","given":"Sarinya","non-dropping-particle":"","parse-names":false,"suffix":""},{"dropping-particle":"","family":"Yongvanich","given":"Niti","non-dropping-particle":"","parse-names":false,"suffix":""}],"container-title":"Energy Procedia","id":"ITEM-1","issued":{"date-parts":[["2016"]]},"page":"239-247","publisher":"Elsevier B.V.","title":"Environmental-friendly Method for Synthesis of Silver Nanoparticles from Dragon Fruit Peel Extract and their Antibacterial Activities","type":"article-journal","volume":"89"},"uris":["http://www.mendeley.com/documents/?uuid=628b8b82-2bd6-4c14-848d-9b68b3e2d899"]},{"id":"ITEM-2","itemData":{"DOI":"10.1007/s12010-023-04341-z","ISSN":"15590291","PMID":"36656535","abstract":"The use of cadmium sulfide nanoparticles (CdS-NPs) synthesized by fungi presents highly stable chemical and optical characteristics; this makes them a promising alternative for development of colorimetric methods for metal detection. Moreover, application of CdS-NPs is challenging due to the biological material used to carry out synthesis and coating is highly diverse; therefore, it is necessary to evaluate if such components are present in the biological material. Thus, the objective of this work was to detect metallic ions in synthetic water samples using CdS-NPs synthesized by the extract of Aspergillus niger. The conditions to produce fungal extracts were determined through a factorial design 23; additionally, biomolecules involved in metallic ions detection, synthesis, and coating of CdS-NPs were quantified; the studied biomolecules are NADH, sulfhydryl groups, proteins, and ferric reducing antioxidants (FRAP). CdS-NPs synthesized in this study were characterized by spectrophotometry, zeta potential, and high-resolution transmission electron microscopy (HRTEM). Finally, detection capacity of metallic ions in synthetic water samples was evaluated. It was proved that the methanolic extract of Aspergillus niger obtained under established conditions has the necessary components for both synthesis and coating of CdS-NPs, as well as detection of metallic ions because it was possible to synthesize CdS-NPs with a hexagonal crystalline structure with a length of 2.56 ± 0.50 nm which were able to detect Pb2+, Cr6+, and Fe3+ at pH 4 and Co2+ at pH 8.","author":[{"dropping-particle":"","family":"Loa","given":"J. D.A.","non-dropping-particle":"","parse-names":false,"suffix":""},{"dropping-particle":"","family":"Cruz-Rodríguez","given":"I. A.","non-dropping-particle":"","parse-names":false,"suffix":""},{"dropping-particle":"","family":"Rojas-Avelizapa","given":"N. G.","non-dropping-particle":"","parse-names":false,"suffix":""}],"container-title":"Applied Biochemistry and Biotechnology","id":"ITEM-2","issue":"7","issued":{"date-parts":[["2023"]]},"page":"4148-4163","publisher":"Springer US","title":"Colorimetric Detection of Metals Using CdS-NPs Synthesized by an Organic Extract of Aspergillus niger","type":"article-journal","volume":"195"},"uris":["http://www.mendeley.com/documents/?uuid=1bd9359b-8669-4e3a-8cf2-52dc606722dc"]}],"mendeley":{"formattedCitation":"(Loa et al., 2023; Phongtongpasuk et al., 2016)","plainTextFormattedCitation":"(Loa et al., 2023; Phongtongpasuk et al., 2016)","previouslyFormattedCitation":"(Loa et al., 2023; Phongtongpasuk et al., 2016)"},"properties":{"noteIndex":0},"schema":"https://github.com/citation-style-language/schema/raw/master/csl-citation.json"}</w:instrText>
      </w:r>
      <w:r w:rsidR="00E92113" w:rsidRPr="001D4F12">
        <w:rPr>
          <w:noProof/>
        </w:rPr>
        <w:fldChar w:fldCharType="separate"/>
      </w:r>
      <w:r w:rsidR="00EE137C" w:rsidRPr="00E6560C">
        <w:rPr>
          <w:noProof/>
        </w:rPr>
        <w:t>(Loa et al., 2023; Phongtongpasuk et al., 2016)</w:t>
      </w:r>
      <w:r w:rsidR="00E92113" w:rsidRPr="001D4F12">
        <w:rPr>
          <w:noProof/>
        </w:rPr>
        <w:fldChar w:fldCharType="end"/>
      </w:r>
      <w:r w:rsidR="00D869F7" w:rsidRPr="00E6560C">
        <w:rPr>
          <w:noProof/>
        </w:rPr>
        <w:t>. Regarding the content of reducing sugars and organic and inorganic sulfates, the data suggest the presence of sulfated polysaccharides</w:t>
      </w:r>
      <w:r w:rsidR="005B1E7B" w:rsidRPr="00E6560C">
        <w:rPr>
          <w:noProof/>
        </w:rPr>
        <w:t xml:space="preserve"> </w:t>
      </w:r>
      <w:r w:rsidR="00AD32D9" w:rsidRPr="001D4F12">
        <w:rPr>
          <w:noProof/>
        </w:rPr>
        <w:t>since the analysis of organic sulfates identifies the concentration of sulfate esters, which are predominant in these polymers, as well as the relationship between reducing sugars and organic sulfates</w:t>
      </w:r>
      <w:r w:rsidR="0079526F" w:rsidRPr="001D4F12">
        <w:rPr>
          <w:noProof/>
        </w:rPr>
        <w:t xml:space="preserve">. </w:t>
      </w:r>
      <w:r w:rsidR="00847E3C" w:rsidRPr="001D4F12">
        <w:rPr>
          <w:noProof/>
        </w:rPr>
        <w:t>However, additional purification steps are required to obtain these polymers, due to the fact that during the extraction process several bioactive compounds are also obtained</w:t>
      </w:r>
      <w:r w:rsidR="0079526F" w:rsidRPr="001D4F12">
        <w:rPr>
          <w:noProof/>
        </w:rPr>
        <w:t xml:space="preserve"> </w:t>
      </w:r>
      <w:r w:rsidR="003048D8" w:rsidRPr="001D4F12">
        <w:fldChar w:fldCharType="begin" w:fldLock="1"/>
      </w:r>
      <w:r w:rsidR="003048D8" w:rsidRPr="001D4F12">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Research","id":"ITEM-1","issue":"2019","issued":{"date-parts":[["2019"]]},"page":"101422","title":"Ulvan: A systematic review of extraction, composition and function","type":"article-journal","volume":"39"},"uris":["http://www.mendeley.com/documents/?uuid=da78441b-244a-4f16-bf1d-2936e62dde5e"]}],"mendeley":{"formattedCitation":"(Kidgell et al., 2019)","plainTextFormattedCitation":"(Kidgell et al., 2019)","previouslyFormattedCitation":"(Kidgell et al., 2019)"},"properties":{"noteIndex":0},"schema":"https://github.com/citation-style-language/schema/raw/master/csl-citation.json"}</w:instrText>
      </w:r>
      <w:r w:rsidR="003048D8" w:rsidRPr="001D4F12">
        <w:fldChar w:fldCharType="separate"/>
      </w:r>
      <w:r w:rsidR="003048D8" w:rsidRPr="001D4F12">
        <w:rPr>
          <w:noProof/>
        </w:rPr>
        <w:t>(Kidgell et al., 2019)</w:t>
      </w:r>
      <w:r w:rsidR="003048D8" w:rsidRPr="001D4F12">
        <w:fldChar w:fldCharType="end"/>
      </w:r>
      <w:r w:rsidR="00847E3C" w:rsidRPr="001D4F12">
        <w:rPr>
          <w:noProof/>
        </w:rPr>
        <w:t xml:space="preserve">. </w:t>
      </w:r>
    </w:p>
    <w:p w14:paraId="5414D20B" w14:textId="77777777" w:rsidR="00DF747B" w:rsidRDefault="00DF747B" w:rsidP="00162233">
      <w:pPr>
        <w:pStyle w:val="CETBodytext"/>
        <w:rPr>
          <w:noProof/>
        </w:rPr>
      </w:pPr>
    </w:p>
    <w:p w14:paraId="1CDD1420" w14:textId="3DD63512" w:rsidR="009024D8" w:rsidRPr="00F84D03" w:rsidRDefault="00E87F2D" w:rsidP="00162233">
      <w:pPr>
        <w:pStyle w:val="CETBodytext"/>
        <w:rPr>
          <w:noProof/>
        </w:rPr>
      </w:pPr>
      <w:r w:rsidRPr="006B08A0">
        <w:rPr>
          <w:noProof/>
        </w:rPr>
        <w:t>T</w:t>
      </w:r>
      <w:r w:rsidR="00F00615" w:rsidRPr="006B08A0">
        <w:rPr>
          <w:noProof/>
        </w:rPr>
        <w:t>h</w:t>
      </w:r>
      <w:r w:rsidR="00D869F7" w:rsidRPr="006B08A0">
        <w:rPr>
          <w:noProof/>
        </w:rPr>
        <w:t xml:space="preserve">e use of sulfated polysaccharides and their homologous glycosaminoglycans at a concentration of 0.2% (w/v) and 0.5 mM </w:t>
      </w:r>
      <w:r w:rsidR="00F00615" w:rsidRPr="006B08A0">
        <w:rPr>
          <w:noProof/>
        </w:rPr>
        <w:t>respectively</w:t>
      </w:r>
      <w:r w:rsidRPr="006B08A0">
        <w:rPr>
          <w:noProof/>
        </w:rPr>
        <w:t xml:space="preserve"> was reported</w:t>
      </w:r>
      <w:r w:rsidR="00F00615" w:rsidRPr="006B08A0">
        <w:rPr>
          <w:noProof/>
        </w:rPr>
        <w:t xml:space="preserve"> </w:t>
      </w:r>
      <w:r w:rsidR="00D869F7" w:rsidRPr="006B08A0">
        <w:rPr>
          <w:noProof/>
        </w:rPr>
        <w:t>for the coating of silver and gold nanoparticles</w:t>
      </w:r>
      <w:r w:rsidR="00F00615" w:rsidRPr="006B08A0">
        <w:rPr>
          <w:noProof/>
        </w:rPr>
        <w:t xml:space="preserve"> </w:t>
      </w:r>
      <w:r w:rsidR="00C16BEF" w:rsidRPr="006B08A0">
        <w:rPr>
          <w:noProof/>
        </w:rPr>
        <w:fldChar w:fldCharType="begin" w:fldLock="1"/>
      </w:r>
      <w:r w:rsidR="00EE137C" w:rsidRPr="006B08A0">
        <w:rPr>
          <w:noProof/>
        </w:rPr>
        <w:instrText>ADDIN CSL_CITATION {"citationItems":[{"id":"ITEM-1","itemData":{"DOI":"doi:10.1021/bm801266t.","author":[{"dropping-particle":"","family":"Kemp","given":"M. M.","non-dropping-particle":"","parse-names":false,"suffix":""},{"dropping-particle":"","family":"Kumar","given":"A.","non-dropping-particle":"","parse-names":false,"suffix":""},{"dropping-particle":"","family":"Mousa","given":"S.","non-dropping-particle":"","parse-names":false,"suffix":""},{"dropping-particle":"","family":"Park","given":"T. J.","non-dropping-particle":"","parse-names":false,"suffix":""},{"dropping-particle":"","family":"Ajayan","given":"P.","non-dropping-particle":"","parse-names":false,"suffix":""},{"dropping-particle":"","family":"Kubotera","given":"N.","non-dropping-particle":"","parse-names":false,"suffix":""},{"dropping-particle":"","family":"Mousa","given":"S. A.","non-dropping-particle":"","parse-names":false,"suffix":""},{"dropping-particle":"","family":"Linhardt","given":"R. J.","non-dropping-particle":"","parse-names":false,"suffix":""}],"container-title":"Biomacromolecules","id":"ITEM-1","issue":"3","issued":{"date-parts":[["2009"]]},"page":"589-595","title":"Synthesis of Gold and Silver Nanoparticles Stabilized with Glycosaminoglycans having Distinctive Biological Activities","type":"article-journal","volume":"10"},"uris":["http://www.mendeley.com/documents/?uuid=0acd32f0-ddc1-42cf-91ca-4bb98fa007e8"]},{"id":"ITEM-2","itemData":{"DOI":"10.1007/s10811-021-02540-x","ISBN":"0123456789","ISSN":"15735176","abstract":"Silver nanoparticles (AgNPs) have gained considerable attention amongst researchers in various applications, owing to their physiochemical and biological properties. Due to disadvantages of previous synthesis methods, various green synthesis methods have been tried recently. In this study, a one-pot method for the synthesis of silver nanoparticles (AgNPs) was investigated through an environmentally friendly route using sulfated polysaccharides (SPs) obtained from the marine Rhodophyta Porphyridium cruentum. The synthesized AgNPs showed surface plasmon resonance at 430 nm, with an average particle size of 24 nm. Furthermore, the FT-IR spectra revealed that SPs could function as reducing as well as capping agents. The catalytic activity of synthesized AgNPs was evaluated in the degradation of methylene blue and congo red in presence of sodium borohydride. In addition, the synthesized AgNPs displayed a significant inhibitory effect in vitro against Escherichia coli, Pseudomonas aeruginosa, Bacillus subtilis, and Staphylococcus aureus. Thus, this study demonstrates the potential fabrication of microalgal SPs to silver nanoparticles, which have a wide variety of potential applications.","author":[{"dropping-particle":"","family":"Jeon","given":"Min Seo","non-dropping-particle":"","parse-names":false,"suffix":""},{"dropping-particle":"Il","family":"Han","given":"Sang","non-dropping-particle":"","parse-names":false,"suffix":""},{"dropping-particle":"","family":"Park","given":"Yun Hwan","non-dropping-particle":"","parse-names":false,"suffix":""},{"dropping-particle":"","family":"Kim","given":"Ho Seon","non-dropping-particle":"","parse-names":false,"suffix":""},{"dropping-particle":"","family":"Choi","given":"Yoon E.","non-dropping-particle":"","parse-names":false,"suffix":""}],"container-title":"Journal of Applied Phycology","id":"ITEM-2","issue":"5","issued":{"date-parts":[["2021"]]},"page":"3091-3101","publisher":"Springer Netherlands","title":"Rapid green synthesis of silver nanoparticles using sulfated polysaccharides originating from Porphyridium cruentum UTEX 161: evaluation of antibacterial and catalytic activities","type":"article-journal","volume":"33"},"uris":["http://www.mendeley.com/documents/?uuid=6bd62f11-e8ca-40b8-b61c-845cbac0e392"]}],"mendeley":{"formattedCitation":"(Jeon et al., 2021; Kemp et al., 2009)","plainTextFormattedCitation":"(Jeon et al., 2021; Kemp et al., 2009)","previouslyFormattedCitation":"(Jeon et al., 2021; Kemp et al., 2009)"},"properties":{"noteIndex":0},"schema":"https://github.com/citation-style-language/schema/raw/master/csl-citation.json"}</w:instrText>
      </w:r>
      <w:r w:rsidR="00C16BEF" w:rsidRPr="006B08A0">
        <w:rPr>
          <w:noProof/>
        </w:rPr>
        <w:fldChar w:fldCharType="separate"/>
      </w:r>
      <w:r w:rsidR="00EE137C" w:rsidRPr="006B08A0">
        <w:rPr>
          <w:noProof/>
        </w:rPr>
        <w:t>(Jeon et al., 2021; Kemp et al., 2009)</w:t>
      </w:r>
      <w:r w:rsidR="00C16BEF" w:rsidRPr="006B08A0">
        <w:rPr>
          <w:noProof/>
        </w:rPr>
        <w:fldChar w:fldCharType="end"/>
      </w:r>
      <w:r w:rsidR="00D869F7" w:rsidRPr="006B08A0">
        <w:rPr>
          <w:noProof/>
        </w:rPr>
        <w:t>.</w:t>
      </w:r>
      <w:r w:rsidR="00F00615" w:rsidRPr="006B08A0">
        <w:rPr>
          <w:noProof/>
        </w:rPr>
        <w:t xml:space="preserve"> </w:t>
      </w:r>
      <w:r w:rsidR="00F84D03" w:rsidRPr="006B08A0">
        <w:rPr>
          <w:noProof/>
        </w:rPr>
        <w:t>However, these results c</w:t>
      </w:r>
      <w:r w:rsidR="00E6560C" w:rsidRPr="006B08A0">
        <w:rPr>
          <w:noProof/>
        </w:rPr>
        <w:t xml:space="preserve">an </w:t>
      </w:r>
      <w:r w:rsidR="00F84D03" w:rsidRPr="006B08A0">
        <w:rPr>
          <w:noProof/>
        </w:rPr>
        <w:t>not be compared with the data obtained in th</w:t>
      </w:r>
      <w:r w:rsidR="00E6560C" w:rsidRPr="006B08A0">
        <w:rPr>
          <w:noProof/>
        </w:rPr>
        <w:t xml:space="preserve">e present </w:t>
      </w:r>
      <w:r w:rsidR="00F84D03" w:rsidRPr="006B08A0">
        <w:rPr>
          <w:noProof/>
        </w:rPr>
        <w:t xml:space="preserve">research since </w:t>
      </w:r>
      <w:r w:rsidR="00E6560C" w:rsidRPr="006B08A0">
        <w:rPr>
          <w:noProof/>
        </w:rPr>
        <w:t xml:space="preserve">most </w:t>
      </w:r>
      <w:r w:rsidR="00F84D03" w:rsidRPr="006B08A0">
        <w:rPr>
          <w:noProof/>
        </w:rPr>
        <w:t xml:space="preserve">reports </w:t>
      </w:r>
      <w:r w:rsidR="00E6560C" w:rsidRPr="006B08A0">
        <w:rPr>
          <w:noProof/>
        </w:rPr>
        <w:t xml:space="preserve">mention </w:t>
      </w:r>
      <w:r w:rsidR="00F84D03" w:rsidRPr="006B08A0">
        <w:rPr>
          <w:noProof/>
        </w:rPr>
        <w:t>the total sulfated polysaccharides</w:t>
      </w:r>
      <w:r w:rsidR="00E6560C" w:rsidRPr="006B08A0">
        <w:rPr>
          <w:noProof/>
        </w:rPr>
        <w:t xml:space="preserve"> concentration</w:t>
      </w:r>
      <w:r w:rsidR="00F84D03" w:rsidRPr="006B08A0">
        <w:rPr>
          <w:noProof/>
        </w:rPr>
        <w:t>, while the data reported in this study show</w:t>
      </w:r>
      <w:r w:rsidR="00D31467" w:rsidRPr="006B08A0">
        <w:rPr>
          <w:noProof/>
        </w:rPr>
        <w:t xml:space="preserve"> only</w:t>
      </w:r>
      <w:r w:rsidR="00F84D03" w:rsidRPr="006B08A0">
        <w:rPr>
          <w:noProof/>
        </w:rPr>
        <w:t xml:space="preserve"> the concentration of esterified sulfates (0.4 ± 0.09 mg/mL) </w:t>
      </w:r>
      <w:r w:rsidR="00D31467" w:rsidRPr="006B08A0">
        <w:rPr>
          <w:noProof/>
        </w:rPr>
        <w:t xml:space="preserve">associated with </w:t>
      </w:r>
      <w:r w:rsidR="00F84D03" w:rsidRPr="006B08A0">
        <w:rPr>
          <w:noProof/>
        </w:rPr>
        <w:t>the antioxidant and beneficial properties of these polymers</w:t>
      </w:r>
      <w:r w:rsidR="00F84D03" w:rsidRPr="001D4F12">
        <w:rPr>
          <w:noProof/>
        </w:rPr>
        <w:t>. Therefore, the seaweed used in this research shows potential</w:t>
      </w:r>
      <w:r w:rsidR="00D31467" w:rsidRPr="001D4F12">
        <w:rPr>
          <w:noProof/>
        </w:rPr>
        <w:t xml:space="preserve"> application</w:t>
      </w:r>
      <w:r w:rsidR="00F84D03" w:rsidRPr="001D4F12">
        <w:rPr>
          <w:noProof/>
        </w:rPr>
        <w:t xml:space="preserve"> </w:t>
      </w:r>
      <w:r w:rsidR="00D31467" w:rsidRPr="001D4F12">
        <w:rPr>
          <w:noProof/>
        </w:rPr>
        <w:t xml:space="preserve">in different areas </w:t>
      </w:r>
      <w:r w:rsidR="00E6560C" w:rsidRPr="001D4F12">
        <w:rPr>
          <w:noProof/>
        </w:rPr>
        <w:t>based on esterified sulfates content closely related to sulfated</w:t>
      </w:r>
      <w:r w:rsidR="00F84D03" w:rsidRPr="001D4F12">
        <w:rPr>
          <w:noProof/>
        </w:rPr>
        <w:t xml:space="preserve"> polysaccharides </w:t>
      </w:r>
      <w:r w:rsidR="00E6560C" w:rsidRPr="001D4F12">
        <w:rPr>
          <w:noProof/>
        </w:rPr>
        <w:t xml:space="preserve">which have been reported with wide benefits. </w:t>
      </w:r>
    </w:p>
    <w:p w14:paraId="51CFA6F2" w14:textId="6D9D2712" w:rsidR="007E2779" w:rsidRPr="00967103" w:rsidRDefault="00293F37" w:rsidP="00162233">
      <w:pPr>
        <w:pStyle w:val="CETHeading1"/>
        <w:rPr>
          <w:lang w:val="en-GB"/>
        </w:rPr>
      </w:pPr>
      <w:r>
        <w:rPr>
          <w:lang w:val="en-GB"/>
        </w:rPr>
        <w:t>Conclusions</w:t>
      </w:r>
    </w:p>
    <w:p w14:paraId="2B7D3A8B" w14:textId="47DDCF3F" w:rsidR="004B6278" w:rsidRDefault="00BE5413" w:rsidP="00562EA3">
      <w:pPr>
        <w:pStyle w:val="CETBodytext"/>
      </w:pPr>
      <w:r w:rsidRPr="00816525">
        <w:t xml:space="preserve">The experimental design showed that </w:t>
      </w:r>
      <w:r w:rsidR="004B6278" w:rsidRPr="00816525">
        <w:t xml:space="preserve">pH 4.5, temperature of 90°C and </w:t>
      </w:r>
      <w:r w:rsidRPr="00816525">
        <w:t xml:space="preserve">11% of </w:t>
      </w:r>
      <w:r w:rsidR="007F095A" w:rsidRPr="00816525">
        <w:rPr>
          <w:i/>
        </w:rPr>
        <w:t>Sargassum sp.</w:t>
      </w:r>
      <w:r w:rsidR="007F095A" w:rsidRPr="00816525">
        <w:t xml:space="preserve"> biomass </w:t>
      </w:r>
      <w:r w:rsidRPr="00816525">
        <w:t>were the conditions that enhanced</w:t>
      </w:r>
      <w:r w:rsidR="004B6278" w:rsidRPr="00816525">
        <w:t xml:space="preserve"> </w:t>
      </w:r>
      <w:r w:rsidR="00B20C0C" w:rsidRPr="00816525">
        <w:t xml:space="preserve">the concentration of reducing power, reducing sugars and organic and inorganic sulfates, </w:t>
      </w:r>
      <w:r w:rsidR="00B20C0C" w:rsidRPr="00F853FD">
        <w:t>obtaining 6.1 ± 0.2 mM/L</w:t>
      </w:r>
      <w:r w:rsidR="00816525" w:rsidRPr="00F853FD">
        <w:t>, 1549.4 ± 1142 mg/L, 1.2 ± 0.06 mg/mL</w:t>
      </w:r>
      <w:r w:rsidR="00B20C0C" w:rsidRPr="00F853FD">
        <w:t xml:space="preserve"> and </w:t>
      </w:r>
      <w:bookmarkStart w:id="2" w:name="_Hlk155949145"/>
      <w:r w:rsidR="00B20C0C" w:rsidRPr="00F853FD">
        <w:t>0.4 ± 0.09 mg/mL</w:t>
      </w:r>
      <w:r w:rsidR="00816525" w:rsidRPr="00F853FD">
        <w:t>, respectively</w:t>
      </w:r>
      <w:bookmarkEnd w:id="2"/>
      <w:r w:rsidR="00816525" w:rsidRPr="00816525">
        <w:t xml:space="preserve"> </w:t>
      </w:r>
      <w:r w:rsidR="00323CE2" w:rsidRPr="00816525">
        <w:t>(Table 3)</w:t>
      </w:r>
      <w:r w:rsidR="00B20C0C" w:rsidRPr="00816525">
        <w:t>,</w:t>
      </w:r>
      <w:r w:rsidR="00B20C0C" w:rsidRPr="00DF1995">
        <w:t xml:space="preserve"> </w:t>
      </w:r>
      <w:r w:rsidR="00F853FD">
        <w:t>suggesting</w:t>
      </w:r>
      <w:r w:rsidR="00B20C0C" w:rsidRPr="00DF1995">
        <w:t xml:space="preserve"> the presence of antioxidant agents and sulfated polysaccharides </w:t>
      </w:r>
      <w:r>
        <w:t xml:space="preserve">which could be used </w:t>
      </w:r>
      <w:r w:rsidR="00B20C0C" w:rsidRPr="00DF1995">
        <w:t xml:space="preserve">for the synthesis and coating of nanomaterials. </w:t>
      </w:r>
      <w:r>
        <w:t>A</w:t>
      </w:r>
      <w:r w:rsidR="00B20C0C" w:rsidRPr="00DF1995">
        <w:t xml:space="preserve">dditional purification </w:t>
      </w:r>
      <w:r w:rsidR="00F00615" w:rsidRPr="00DF1995">
        <w:t xml:space="preserve">steps </w:t>
      </w:r>
      <w:r w:rsidR="00B20C0C" w:rsidRPr="00DF1995">
        <w:t xml:space="preserve">are required if </w:t>
      </w:r>
      <w:r w:rsidR="00F00615" w:rsidRPr="00DF1995">
        <w:t xml:space="preserve">some of these compounds </w:t>
      </w:r>
      <w:r w:rsidR="00B20C0C" w:rsidRPr="00DF1995">
        <w:t>are employed for specific biotechnological applications.</w:t>
      </w:r>
    </w:p>
    <w:p w14:paraId="408DD4BF" w14:textId="1C277A3B" w:rsidR="00BE5413" w:rsidRDefault="00BE5413" w:rsidP="00562EA3">
      <w:pPr>
        <w:pStyle w:val="CETBodytext"/>
      </w:pPr>
    </w:p>
    <w:p w14:paraId="33A1DA54" w14:textId="77777777" w:rsidR="00293F37" w:rsidRPr="007F095A" w:rsidRDefault="00293F37" w:rsidP="00293F37">
      <w:pPr>
        <w:pStyle w:val="CETReference"/>
        <w:rPr>
          <w:lang w:val="en-US"/>
        </w:rPr>
      </w:pPr>
      <w:r w:rsidRPr="007F095A">
        <w:rPr>
          <w:lang w:val="en-US"/>
        </w:rPr>
        <w:t>References</w:t>
      </w:r>
    </w:p>
    <w:p w14:paraId="1B0CAD4B" w14:textId="5B50192E" w:rsidR="00240671" w:rsidRPr="00C03692" w:rsidRDefault="00C01B70" w:rsidP="00240671">
      <w:pPr>
        <w:widowControl w:val="0"/>
        <w:autoSpaceDE w:val="0"/>
        <w:autoSpaceDN w:val="0"/>
        <w:adjustRightInd w:val="0"/>
        <w:spacing w:line="240" w:lineRule="auto"/>
        <w:ind w:left="480" w:hanging="480"/>
        <w:rPr>
          <w:rFonts w:cs="Arial"/>
          <w:noProof/>
          <w:szCs w:val="24"/>
          <w:lang w:val="es-MX"/>
        </w:rPr>
      </w:pPr>
      <w:r>
        <w:rPr>
          <w:lang w:val="es-419"/>
        </w:rPr>
        <w:fldChar w:fldCharType="begin" w:fldLock="1"/>
      </w:r>
      <w:r w:rsidRPr="00917630">
        <w:rPr>
          <w:lang w:val="en-US"/>
        </w:rPr>
        <w:instrText xml:space="preserve">ADDIN Mendeley Bibliography CSL_BIBLIOGRAPHY </w:instrText>
      </w:r>
      <w:r>
        <w:rPr>
          <w:lang w:val="es-419"/>
        </w:rPr>
        <w:fldChar w:fldCharType="separate"/>
      </w:r>
      <w:r w:rsidR="00240671" w:rsidRPr="00240671">
        <w:rPr>
          <w:rFonts w:cs="Arial"/>
          <w:noProof/>
          <w:szCs w:val="24"/>
        </w:rPr>
        <w:t xml:space="preserve">Afreen, A.B., Rasool, F., Fatima, M., 2023. Bioactive properties of brown seaweed, Sargassum wightii and its </w:t>
      </w:r>
      <w:r w:rsidR="00240671" w:rsidRPr="00240671">
        <w:rPr>
          <w:rFonts w:cs="Arial"/>
          <w:noProof/>
          <w:szCs w:val="24"/>
        </w:rPr>
        <w:lastRenderedPageBreak/>
        <w:t xml:space="preserve">nutritional, therapeutic potential and health benefits: A review. </w:t>
      </w:r>
      <w:r w:rsidR="00240671" w:rsidRPr="00C03692">
        <w:rPr>
          <w:rFonts w:cs="Arial"/>
          <w:noProof/>
          <w:szCs w:val="24"/>
          <w:lang w:val="es-MX"/>
        </w:rPr>
        <w:t>J. Environ. Biol. 44, 146–158. https://doi.org/http://doi.org/10.22438/jeb/44/2/MRN-5081</w:t>
      </w:r>
    </w:p>
    <w:p w14:paraId="5060CBBF"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C03692">
        <w:rPr>
          <w:rFonts w:cs="Arial"/>
          <w:noProof/>
          <w:szCs w:val="24"/>
          <w:lang w:val="es-MX"/>
        </w:rPr>
        <w:t xml:space="preserve">Ahmouda, K., Benhaoua, B., Laouini, S.E., Labbi, A., 2022. </w:t>
      </w:r>
      <w:r w:rsidRPr="00240671">
        <w:rPr>
          <w:rFonts w:cs="Arial"/>
          <w:noProof/>
          <w:szCs w:val="24"/>
        </w:rPr>
        <w:t>Plant extract FRAP effect on cation vacancies formation in greenly synthesized wüstite (FexO) nanoparticles: A new contribution. Sustain. Chem. Pharm. 25, 100563. https://doi.org/10.1016/j.scp.2021.100563</w:t>
      </w:r>
    </w:p>
    <w:p w14:paraId="2C752C63"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240671">
        <w:rPr>
          <w:rFonts w:cs="Arial"/>
          <w:noProof/>
          <w:szCs w:val="24"/>
        </w:rPr>
        <w:t xml:space="preserve">Álvarez-Gómez, F., Korbee, N., Figueroa, F.L., 2016. Analysis of antioxidant capacity and bioactive compounds in marine macroalgal and lichenic extracts using different solvents and evaluation methods. </w:t>
      </w:r>
      <w:r w:rsidRPr="00C03692">
        <w:rPr>
          <w:rFonts w:cs="Arial"/>
          <w:noProof/>
          <w:szCs w:val="24"/>
          <w:lang w:val="es-MX"/>
        </w:rPr>
        <w:t>Ciencias Mar. 42, 271–288. https://doi.org/http://dx.doi.org/10.7773/cm.v42i4.2677</w:t>
      </w:r>
    </w:p>
    <w:p w14:paraId="2634AF2D"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C03692">
        <w:rPr>
          <w:rFonts w:cs="Arial"/>
          <w:noProof/>
          <w:szCs w:val="24"/>
          <w:lang w:val="es-MX"/>
        </w:rPr>
        <w:t xml:space="preserve">Antunes, S.F., Dos Santos, M.S., dos Santos, O.A.L., Backx, B.P., Soran, M.L., Opris, O., Lung, I., Stegarescu, A., Bououdina, M., 2023. </w:t>
      </w:r>
      <w:r w:rsidRPr="00240671">
        <w:rPr>
          <w:rFonts w:cs="Arial"/>
          <w:noProof/>
          <w:szCs w:val="24"/>
        </w:rPr>
        <w:t>Biosynthesis of nanoparticles using plant extracts and essential oils. Molecules 28, 101–117. https://doi.org/https://doi.org/10.3390/molecules28073060</w:t>
      </w:r>
    </w:p>
    <w:p w14:paraId="4E3129B0"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Dodgson, K.S., Price, R.G., 1962. A note on the determination of the ester sulphate content of sulphated polysaccharides. Biochem. J. 84, 106–110. https://doi.org/10.1042/bj0840106</w:t>
      </w:r>
    </w:p>
    <w:p w14:paraId="4F1924B2"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Flieger, J., Flieger, W., Baj, J., Maciejewski, R., 2021. Antioxidants: Classification, natural sources, activity/capacity measurements, and usefulness for the synthesis of nanoparticles. Materials (Basel). 14. https://doi.org/10.3390/ma14154135</w:t>
      </w:r>
    </w:p>
    <w:p w14:paraId="12A19FC0"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240671">
        <w:rPr>
          <w:rFonts w:cs="Arial"/>
          <w:noProof/>
          <w:szCs w:val="24"/>
        </w:rPr>
        <w:t xml:space="preserve">Fouda, A., Eid, A.M., Abdelkareem, A., Said, H.A., El-Belely, E.F., Alkhalifah, D.H.M., Alshallash, K.S., Hassan, S.E.D., 2022. Phyco-Synthesized Zinc Oxide Nanoparticles Using Marine Macroalgae, Ulva fasciata Delile, Characterization, Antibacterial Activity, Photocatalysis, and Tanning Wastewater Treatment. </w:t>
      </w:r>
      <w:r w:rsidRPr="00C03692">
        <w:rPr>
          <w:rFonts w:cs="Arial"/>
          <w:noProof/>
          <w:szCs w:val="24"/>
          <w:lang w:val="es-MX"/>
        </w:rPr>
        <w:t>Catalysts 12. https://doi.org/10.3390/catal12070756</w:t>
      </w:r>
    </w:p>
    <w:p w14:paraId="5D7A4F7B"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C03692">
        <w:rPr>
          <w:rFonts w:cs="Arial"/>
          <w:noProof/>
          <w:szCs w:val="24"/>
          <w:lang w:val="es-MX"/>
        </w:rPr>
        <w:t xml:space="preserve">Goodarzi, V., Zamani, H., Bajuli, L., Moradshahi, A., 2014. </w:t>
      </w:r>
      <w:r w:rsidRPr="00240671">
        <w:rPr>
          <w:rFonts w:cs="Arial"/>
          <w:noProof/>
          <w:szCs w:val="24"/>
        </w:rPr>
        <w:t>Evaluation of antioxidant potential and reduction capacity of some plant extracts in silver nanoparticles’ synthesis. Mol. Biol. Res. Commun. 3, 165–174.</w:t>
      </w:r>
    </w:p>
    <w:p w14:paraId="38480D82"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Harb, T.B., Pereira, M.S., Cavalcanti, M.I.L.G., Fujii, M.T., Chow, F., 2021. Antioxidant activity and related chemical composition of extracts from Brazilian beach-cast marine algae: opportunities of turning a waste into a resource. J. Appl. Phycol. 33, 3383–3395. https://doi.org/10.1007/s10811-021-02446-8</w:t>
      </w:r>
    </w:p>
    <w:p w14:paraId="3F3AF650"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Jeon, M.S., Han, S. Il, Park, Y.H., Kim, H.S., Choi, Y.E., 2021. Rapid green synthesis of silver nanoparticles using sulfated polysaccharides originating from Porphyridium cruentum UTEX 161: evaluation of antibacterial and catalytic activities. J. Appl. Phycol. 33, 3091–3101. https://doi.org/10.1007/s10811-021-02540-x</w:t>
      </w:r>
    </w:p>
    <w:p w14:paraId="54083CD8"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Kemp, M.M., Kumar, A., Mousa, S., Park, T.J., Ajayan, P., Kubotera, N., Mousa, S.A., Linhardt, R.J., 2009. Synthesis of Gold and Silver Nanoparticles Stabilized with Glycosaminoglycans having Distinctive Biological Activities. Biomacromolecules 10, 589–595. https://doi.org/doi:10.1021/bm801266t.</w:t>
      </w:r>
    </w:p>
    <w:p w14:paraId="5B1305E1"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Kidgell, J.T., Magnusson, M., de Nys, R., Glasson, C.R.K., 2019. Ulvan: A systematic review of extraction, composition and function. Algal Res. 39, 101422. https://doi.org/10.1016/j.algal.2019.101422</w:t>
      </w:r>
    </w:p>
    <w:p w14:paraId="03D579A9"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240671">
        <w:rPr>
          <w:rFonts w:cs="Arial"/>
          <w:noProof/>
          <w:szCs w:val="24"/>
        </w:rPr>
        <w:t xml:space="preserve">Kothai, R., Arul, B., Anbazhagan, V., 2022. Anti </w:t>
      </w:r>
      <w:r w:rsidRPr="00240671">
        <w:rPr>
          <w:rFonts w:ascii="Cambria Math" w:hAnsi="Cambria Math" w:cs="Cambria Math"/>
          <w:noProof/>
          <w:szCs w:val="24"/>
        </w:rPr>
        <w:t>‑</w:t>
      </w:r>
      <w:r w:rsidRPr="00240671">
        <w:rPr>
          <w:rFonts w:cs="Arial"/>
          <w:noProof/>
          <w:szCs w:val="24"/>
        </w:rPr>
        <w:t xml:space="preserve"> Dengue Activity of ZnO Nanoparticles of Crude Fucoidan from Brown Seaweed S.marginatum. Appl. Biochem. Biotechnol. 195, 3747–3763. https://doi.org/https://doi.org/10.1007/s12010-022-03966-w</w:t>
      </w:r>
    </w:p>
    <w:p w14:paraId="2FA8F19B"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240671">
        <w:rPr>
          <w:rFonts w:cs="Arial"/>
          <w:noProof/>
          <w:szCs w:val="24"/>
        </w:rPr>
        <w:t xml:space="preserve">Kumar, A., AbdElgawad, H., Castellano, I., Selim, S., Beemster, G.T.S., Asard, H., Buia, M.C., Palumbo, A., 2018. Effects of ocean acidification on the levels of primary and secondary metabolites in the brown macroalga Sargassum vulgare at different time scales. </w:t>
      </w:r>
      <w:r w:rsidRPr="00C03692">
        <w:rPr>
          <w:rFonts w:cs="Arial"/>
          <w:noProof/>
          <w:szCs w:val="24"/>
          <w:lang w:val="es-MX"/>
        </w:rPr>
        <w:t>Sci. Total Environ. 643, 946–956. https://doi.org/10.1016/j.scitotenv.2018.06.176</w:t>
      </w:r>
    </w:p>
    <w:p w14:paraId="7F499D66"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C03692">
        <w:rPr>
          <w:rFonts w:cs="Arial"/>
          <w:noProof/>
          <w:szCs w:val="24"/>
          <w:lang w:val="es-MX"/>
        </w:rPr>
        <w:t xml:space="preserve">Loa, J.D.A., Cruz-Rodríguez, I.A., Rojas-Avelizapa, N.G., 2023. </w:t>
      </w:r>
      <w:r w:rsidRPr="00240671">
        <w:rPr>
          <w:rFonts w:cs="Arial"/>
          <w:noProof/>
          <w:szCs w:val="24"/>
        </w:rPr>
        <w:t xml:space="preserve">Colorimetric Detection of Metals Using CdS-NPs Synthesized by an Organic Extract of Aspergillus niger. </w:t>
      </w:r>
      <w:r w:rsidRPr="00C03692">
        <w:rPr>
          <w:rFonts w:cs="Arial"/>
          <w:noProof/>
          <w:szCs w:val="24"/>
          <w:lang w:val="es-MX"/>
        </w:rPr>
        <w:t>Appl. Biochem. Biotechnol. 195, 4148–4163. https://doi.org/10.1007/s12010-023-04341-z</w:t>
      </w:r>
    </w:p>
    <w:p w14:paraId="462846F1"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C03692">
        <w:rPr>
          <w:rFonts w:cs="Arial"/>
          <w:noProof/>
          <w:szCs w:val="24"/>
          <w:lang w:val="es-MX"/>
        </w:rPr>
        <w:t xml:space="preserve">Lopez-Miranda, J.L., Molina, G.A., González-Reyna, M.A., España-Sánchez, B.L., Esparza, R., Silva, R., Estévez, M., 2023. </w:t>
      </w:r>
      <w:r w:rsidRPr="00240671">
        <w:rPr>
          <w:rFonts w:cs="Arial"/>
          <w:noProof/>
          <w:szCs w:val="24"/>
        </w:rPr>
        <w:t xml:space="preserve">Antibacterial and Anti-Inflammatory Properties of ZnO Nanoparticles Synthesized by a Green Method Using Sargassum Extracts. </w:t>
      </w:r>
      <w:r w:rsidRPr="00C03692">
        <w:rPr>
          <w:rFonts w:cs="Arial"/>
          <w:noProof/>
          <w:szCs w:val="24"/>
          <w:lang w:val="es-MX"/>
        </w:rPr>
        <w:t>Int. J. Mol. Sci. 24. https://doi.org/10.3390/ijms24021474</w:t>
      </w:r>
    </w:p>
    <w:p w14:paraId="1236732E"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C03692">
        <w:rPr>
          <w:rFonts w:cs="Arial"/>
          <w:noProof/>
          <w:szCs w:val="24"/>
          <w:lang w:val="es-MX"/>
        </w:rPr>
        <w:t xml:space="preserve">Martínez-Cabanas, M., López-García, M., Rodríguez-Barro, P., Vilariño, T., Lodeiro, P., Herrero, R., Barriada, J.L., de Vicente, M.E.S., 2021. </w:t>
      </w:r>
      <w:r w:rsidRPr="00240671">
        <w:rPr>
          <w:rFonts w:cs="Arial"/>
          <w:noProof/>
          <w:szCs w:val="24"/>
        </w:rPr>
        <w:t>Antioxidant capacity assessment of plant extracts for green synthesis of nanoparticles. Nanomaterials 11, 1–14. https://doi.org/10.3390/nano11071679</w:t>
      </w:r>
    </w:p>
    <w:p w14:paraId="4DED6734"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240671">
        <w:rPr>
          <w:rFonts w:cs="Arial"/>
          <w:noProof/>
          <w:szCs w:val="24"/>
        </w:rPr>
        <w:t xml:space="preserve">Milledge, J.J., Nielsen, B. V., Bailey, D., 2016. High-value products from macroalgae: the potential uses of the invasive brown seaweed, Sargassum muticum. </w:t>
      </w:r>
      <w:r w:rsidRPr="00C03692">
        <w:rPr>
          <w:rFonts w:cs="Arial"/>
          <w:noProof/>
          <w:szCs w:val="24"/>
          <w:lang w:val="es-MX"/>
        </w:rPr>
        <w:t>Rev. Environ. Sci. Biotechnol. 15, 67–88. https://doi.org/10.1007/s11157-015-9381-7</w:t>
      </w:r>
    </w:p>
    <w:p w14:paraId="279D1846" w14:textId="77777777" w:rsidR="00240671" w:rsidRPr="00240671" w:rsidRDefault="00240671" w:rsidP="00240671">
      <w:pPr>
        <w:widowControl w:val="0"/>
        <w:autoSpaceDE w:val="0"/>
        <w:autoSpaceDN w:val="0"/>
        <w:adjustRightInd w:val="0"/>
        <w:spacing w:line="240" w:lineRule="auto"/>
        <w:ind w:left="480" w:hanging="480"/>
        <w:rPr>
          <w:rFonts w:cs="Arial"/>
          <w:noProof/>
          <w:szCs w:val="24"/>
        </w:rPr>
      </w:pPr>
      <w:r w:rsidRPr="00C03692">
        <w:rPr>
          <w:rFonts w:cs="Arial"/>
          <w:noProof/>
          <w:szCs w:val="24"/>
          <w:lang w:val="es-MX"/>
        </w:rPr>
        <w:t xml:space="preserve">Núñez Ávila, R., Pérez Rivas, B., Motzezak Hernández, R., Chirlino, M., 2012. Contenido de azúcares totales , reductores y no reductores en Agave cocui Trelease. </w:t>
      </w:r>
      <w:r w:rsidRPr="00240671">
        <w:rPr>
          <w:rFonts w:cs="Arial"/>
          <w:noProof/>
          <w:szCs w:val="24"/>
        </w:rPr>
        <w:t>Multiciencias 12, 129–135.</w:t>
      </w:r>
    </w:p>
    <w:p w14:paraId="50B8FBDD"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240671">
        <w:rPr>
          <w:rFonts w:cs="Arial"/>
          <w:noProof/>
          <w:szCs w:val="24"/>
        </w:rPr>
        <w:t xml:space="preserve">Phongtongpasuk, S., Poadang, S., Yongvanich, N., 2016. Environmental-friendly Method for Synthesis of Silver Nanoparticles from Dragon Fruit Peel Extract and their Antibacterial Activities. </w:t>
      </w:r>
      <w:r w:rsidRPr="00C03692">
        <w:rPr>
          <w:rFonts w:cs="Arial"/>
          <w:noProof/>
          <w:szCs w:val="24"/>
          <w:lang w:val="es-MX"/>
        </w:rPr>
        <w:t>Energy Procedia 89, 239–247. https://doi.org/10.1016/j.egypro.2016.05.031</w:t>
      </w:r>
    </w:p>
    <w:p w14:paraId="63A31D3B" w14:textId="77777777" w:rsidR="00240671" w:rsidRPr="00C03692" w:rsidRDefault="00240671" w:rsidP="00240671">
      <w:pPr>
        <w:widowControl w:val="0"/>
        <w:autoSpaceDE w:val="0"/>
        <w:autoSpaceDN w:val="0"/>
        <w:adjustRightInd w:val="0"/>
        <w:spacing w:line="240" w:lineRule="auto"/>
        <w:ind w:left="480" w:hanging="480"/>
        <w:rPr>
          <w:rFonts w:cs="Arial"/>
          <w:noProof/>
          <w:szCs w:val="24"/>
          <w:lang w:val="es-MX"/>
        </w:rPr>
      </w:pPr>
      <w:r w:rsidRPr="00C03692">
        <w:rPr>
          <w:rFonts w:cs="Arial"/>
          <w:noProof/>
          <w:szCs w:val="24"/>
          <w:lang w:val="es-MX"/>
        </w:rPr>
        <w:t xml:space="preserve">Torres, P., Novaes, P., Ferreira, L.G., Santos, J.P., Mazepa, E., Duarte, M.E.R., Noseda, M.D., Chow, F., dos Santos, D.Y.A.C., 2018. </w:t>
      </w:r>
      <w:r w:rsidRPr="00240671">
        <w:rPr>
          <w:rFonts w:cs="Arial"/>
          <w:noProof/>
          <w:szCs w:val="24"/>
        </w:rPr>
        <w:t xml:space="preserve">Effects of extracts and isolated molecules of two species of Gracilaria (Gracilariales, Rhodophyta) on early growth of lettuce. </w:t>
      </w:r>
      <w:r w:rsidRPr="00C03692">
        <w:rPr>
          <w:rFonts w:cs="Arial"/>
          <w:noProof/>
          <w:szCs w:val="24"/>
          <w:lang w:val="es-MX"/>
        </w:rPr>
        <w:t>Algal Res. 32, 142–149. https://doi.org/10.1016/j.algal.2018.03.016</w:t>
      </w:r>
    </w:p>
    <w:p w14:paraId="03A5595F" w14:textId="77777777" w:rsidR="00240671" w:rsidRPr="00240671" w:rsidRDefault="00240671" w:rsidP="00240671">
      <w:pPr>
        <w:widowControl w:val="0"/>
        <w:autoSpaceDE w:val="0"/>
        <w:autoSpaceDN w:val="0"/>
        <w:adjustRightInd w:val="0"/>
        <w:spacing w:line="240" w:lineRule="auto"/>
        <w:ind w:left="480" w:hanging="480"/>
        <w:rPr>
          <w:rFonts w:cs="Arial"/>
          <w:noProof/>
        </w:rPr>
      </w:pPr>
      <w:r w:rsidRPr="00C03692">
        <w:rPr>
          <w:rFonts w:cs="Arial"/>
          <w:noProof/>
          <w:szCs w:val="24"/>
          <w:lang w:val="es-MX"/>
        </w:rPr>
        <w:t xml:space="preserve">Vijayalakshmi, M., Ruckmani, K., 2016. </w:t>
      </w:r>
      <w:r w:rsidRPr="00240671">
        <w:rPr>
          <w:rFonts w:cs="Arial"/>
          <w:noProof/>
          <w:szCs w:val="24"/>
        </w:rPr>
        <w:t>Ferric reducing anti-oxidant power assay in plant extract. Bangladesh J. Pharmacol. 11, 570–572. https://doi.org/10.3329/bjp.v11i3.27663</w:t>
      </w:r>
    </w:p>
    <w:p w14:paraId="56280E0B" w14:textId="133F9DD8" w:rsidR="00D1406D" w:rsidRPr="007F095A" w:rsidRDefault="00C01B70" w:rsidP="00600535">
      <w:pPr>
        <w:pStyle w:val="CETBodytext"/>
      </w:pPr>
      <w:r>
        <w:rPr>
          <w:lang w:val="es-419"/>
        </w:rPr>
        <w:lastRenderedPageBreak/>
        <w:fldChar w:fldCharType="end"/>
      </w:r>
    </w:p>
    <w:p w14:paraId="07A889B0" w14:textId="303702F9" w:rsidR="00FC5509" w:rsidRPr="007F095A" w:rsidRDefault="00FC5509" w:rsidP="00600535">
      <w:pPr>
        <w:pStyle w:val="CETBodytext"/>
      </w:pPr>
      <w:r w:rsidRPr="007F095A">
        <w:t>COMMENTS FOR REVIEWERS</w:t>
      </w:r>
    </w:p>
    <w:p w14:paraId="4979E20C" w14:textId="63E1CD29" w:rsidR="00FC5509" w:rsidRPr="007F095A" w:rsidRDefault="00FC5509" w:rsidP="00600535">
      <w:pPr>
        <w:pStyle w:val="CETBodytext"/>
      </w:pPr>
    </w:p>
    <w:p w14:paraId="5705BFB6" w14:textId="4351CDF7" w:rsidR="001F773D" w:rsidRDefault="00FC5509" w:rsidP="001F773D">
      <w:pPr>
        <w:pStyle w:val="CETBodytext"/>
        <w:rPr>
          <w:lang w:val="es-419"/>
        </w:rPr>
      </w:pPr>
      <w:proofErr w:type="spellStart"/>
      <w:r>
        <w:rPr>
          <w:lang w:val="es-419"/>
        </w:rPr>
        <w:t>Reviewer</w:t>
      </w:r>
      <w:proofErr w:type="spellEnd"/>
      <w:r>
        <w:rPr>
          <w:lang w:val="es-419"/>
        </w:rPr>
        <w:t xml:space="preserve"> 1</w:t>
      </w:r>
    </w:p>
    <w:p w14:paraId="67FC05A3" w14:textId="6DD34880" w:rsidR="001F773D" w:rsidRDefault="001F773D" w:rsidP="001F773D">
      <w:pPr>
        <w:pStyle w:val="CETBodytext"/>
        <w:rPr>
          <w:lang w:val="es-419"/>
        </w:rPr>
      </w:pPr>
    </w:p>
    <w:p w14:paraId="5D914C23" w14:textId="5F1791D7" w:rsidR="001F773D" w:rsidRDefault="001F773D" w:rsidP="001F773D">
      <w:pPr>
        <w:pStyle w:val="CETBodytext"/>
        <w:numPr>
          <w:ilvl w:val="0"/>
          <w:numId w:val="25"/>
        </w:numPr>
      </w:pPr>
      <w:r w:rsidRPr="001F773D">
        <w:t>Aim and scope of this article is not well explained. Moreover, the novelty of this work is missing. I would suggest to describe clearly the novelty in few sentences.</w:t>
      </w:r>
    </w:p>
    <w:p w14:paraId="00979B62" w14:textId="77777777" w:rsidR="00C20463" w:rsidRDefault="001F773D" w:rsidP="001F773D">
      <w:pPr>
        <w:pStyle w:val="CETBodytext"/>
        <w:ind w:left="360"/>
      </w:pPr>
      <w:r>
        <w:t xml:space="preserve">Answer: the aim and scope were corrected with the following: </w:t>
      </w:r>
    </w:p>
    <w:p w14:paraId="396FD2C0" w14:textId="3730AF27" w:rsidR="007F095A" w:rsidRPr="00816525" w:rsidRDefault="007F095A" w:rsidP="007F095A">
      <w:pPr>
        <w:pStyle w:val="CETBodytext"/>
        <w:numPr>
          <w:ilvl w:val="0"/>
          <w:numId w:val="26"/>
        </w:numPr>
        <w:rPr>
          <w:lang w:val="en-GB"/>
        </w:rPr>
      </w:pPr>
      <w:r w:rsidRPr="00816525">
        <w:rPr>
          <w:lang w:val="en-GB"/>
        </w:rPr>
        <w:t xml:space="preserve">Abstract, line 3 to 6: By means of a </w:t>
      </w:r>
      <w:proofErr w:type="gramStart"/>
      <w:r w:rsidRPr="00816525">
        <w:rPr>
          <w:lang w:val="en-GB"/>
        </w:rPr>
        <w:t>2</w:t>
      </w:r>
      <w:r w:rsidRPr="00816525">
        <w:rPr>
          <w:vertAlign w:val="superscript"/>
          <w:lang w:val="en-GB"/>
        </w:rPr>
        <w:t>3</w:t>
      </w:r>
      <w:r w:rsidRPr="00816525">
        <w:rPr>
          <w:lang w:val="en-GB"/>
        </w:rPr>
        <w:t xml:space="preserve"> factorial</w:t>
      </w:r>
      <w:proofErr w:type="gramEnd"/>
      <w:r w:rsidRPr="00816525">
        <w:rPr>
          <w:lang w:val="en-GB"/>
        </w:rPr>
        <w:t xml:space="preserve"> design, the present study determined the pH, temperature and concentration of the biomass (%) conditions for obtaining </w:t>
      </w:r>
      <w:r w:rsidRPr="00816525">
        <w:rPr>
          <w:i/>
          <w:lang w:val="en-GB"/>
        </w:rPr>
        <w:t>Sargassum sp.</w:t>
      </w:r>
      <w:r w:rsidRPr="00816525">
        <w:rPr>
          <w:lang w:val="en-GB"/>
        </w:rPr>
        <w:t xml:space="preserve"> extracts for further application in the synthesis of nanomaterials; the response variables were the antioxidant capacity, concentration of carbohydrates and organic and inorganic </w:t>
      </w:r>
      <w:proofErr w:type="spellStart"/>
      <w:r w:rsidRPr="00816525">
        <w:rPr>
          <w:lang w:val="en-GB"/>
        </w:rPr>
        <w:t>sulfates</w:t>
      </w:r>
      <w:proofErr w:type="spellEnd"/>
    </w:p>
    <w:p w14:paraId="0F3D303A" w14:textId="5068EC09" w:rsidR="007F095A" w:rsidRPr="00816525" w:rsidRDefault="007F095A" w:rsidP="00C20463">
      <w:pPr>
        <w:pStyle w:val="CETBodytext"/>
        <w:numPr>
          <w:ilvl w:val="0"/>
          <w:numId w:val="26"/>
        </w:numPr>
        <w:rPr>
          <w:lang w:val="en-GB"/>
        </w:rPr>
      </w:pPr>
      <w:r w:rsidRPr="00816525">
        <w:rPr>
          <w:lang w:val="en-GB"/>
        </w:rPr>
        <w:t>Abstract, line 10: “extract” was changed by “biomass”</w:t>
      </w:r>
    </w:p>
    <w:p w14:paraId="2642C4B7" w14:textId="0E83DDD6" w:rsidR="001F773D" w:rsidRPr="00816525" w:rsidRDefault="00C20463" w:rsidP="00C20463">
      <w:pPr>
        <w:pStyle w:val="CETBodytext"/>
        <w:numPr>
          <w:ilvl w:val="0"/>
          <w:numId w:val="26"/>
        </w:numPr>
        <w:rPr>
          <w:lang w:val="en-GB"/>
        </w:rPr>
      </w:pPr>
      <w:r w:rsidRPr="00816525">
        <w:t xml:space="preserve">Introduction, line 44 to 46: </w:t>
      </w:r>
      <w:r w:rsidR="0006382A" w:rsidRPr="00816525">
        <w:t>Therefore, the aim of this research was to determine the pH, temperature and concentration of the</w:t>
      </w:r>
      <w:r w:rsidR="007F095A" w:rsidRPr="00816525">
        <w:t xml:space="preserve"> biomass</w:t>
      </w:r>
      <w:r w:rsidR="0006382A" w:rsidRPr="00816525">
        <w:t xml:space="preserve"> (</w:t>
      </w:r>
      <w:r w:rsidR="007F095A" w:rsidRPr="00816525">
        <w:t>%</w:t>
      </w:r>
      <w:r w:rsidR="0006382A" w:rsidRPr="00816525">
        <w:t xml:space="preserve">) conditions for obtaining aqueous extracts of </w:t>
      </w:r>
      <w:r w:rsidR="0006382A" w:rsidRPr="00816525">
        <w:rPr>
          <w:i/>
        </w:rPr>
        <w:t>Sargassum sp.</w:t>
      </w:r>
      <w:r w:rsidR="0006382A" w:rsidRPr="00816525">
        <w:t xml:space="preserve"> for future application in the synthesis of nanomaterials.</w:t>
      </w:r>
    </w:p>
    <w:p w14:paraId="73E212F0" w14:textId="35C376CF" w:rsidR="009B4414" w:rsidRPr="00816525" w:rsidRDefault="009B4414" w:rsidP="00C20463">
      <w:pPr>
        <w:pStyle w:val="CETBodytext"/>
        <w:numPr>
          <w:ilvl w:val="0"/>
          <w:numId w:val="26"/>
        </w:numPr>
        <w:rPr>
          <w:lang w:val="en-GB"/>
        </w:rPr>
      </w:pPr>
      <w:r w:rsidRPr="00816525">
        <w:rPr>
          <w:lang w:val="en-GB"/>
        </w:rPr>
        <w:t>Results and discussion 3.1, line 3: “extract (w/v)” was changed by “biomass (%)”</w:t>
      </w:r>
    </w:p>
    <w:p w14:paraId="4B8CB3BD" w14:textId="1677833B" w:rsidR="009B4414" w:rsidRPr="00816525" w:rsidRDefault="009B4414" w:rsidP="009B4414">
      <w:pPr>
        <w:pStyle w:val="CETBodytext"/>
        <w:numPr>
          <w:ilvl w:val="0"/>
          <w:numId w:val="26"/>
        </w:numPr>
        <w:rPr>
          <w:lang w:val="en-GB"/>
        </w:rPr>
      </w:pPr>
      <w:r w:rsidRPr="00816525">
        <w:rPr>
          <w:lang w:val="en-GB"/>
        </w:rPr>
        <w:t>Results and discussion 3.1, line 8: “extract” was changed by “biomass”</w:t>
      </w:r>
    </w:p>
    <w:p w14:paraId="042F276D" w14:textId="37DF8CE0" w:rsidR="009B4414" w:rsidRPr="00816525" w:rsidRDefault="009B4414" w:rsidP="009B4414">
      <w:pPr>
        <w:pStyle w:val="CETBodytext"/>
        <w:numPr>
          <w:ilvl w:val="0"/>
          <w:numId w:val="26"/>
        </w:numPr>
        <w:rPr>
          <w:lang w:val="en-GB"/>
        </w:rPr>
      </w:pPr>
      <w:r w:rsidRPr="00816525">
        <w:rPr>
          <w:lang w:val="en-GB"/>
        </w:rPr>
        <w:t>Results and discussion 3.1, line 17: “extract” was changed by “biomass”</w:t>
      </w:r>
    </w:p>
    <w:p w14:paraId="162C3E3A" w14:textId="173CFF58" w:rsidR="009B4414" w:rsidRPr="00816525" w:rsidRDefault="009B4414" w:rsidP="009B4414">
      <w:pPr>
        <w:pStyle w:val="CETBodytext"/>
        <w:numPr>
          <w:ilvl w:val="0"/>
          <w:numId w:val="26"/>
        </w:numPr>
        <w:rPr>
          <w:lang w:val="en-GB"/>
        </w:rPr>
      </w:pPr>
      <w:r w:rsidRPr="00816525">
        <w:rPr>
          <w:lang w:val="en-GB"/>
        </w:rPr>
        <w:t>Results and discussion 3.1, line 18: “extract” was changed by “biomass”</w:t>
      </w:r>
    </w:p>
    <w:p w14:paraId="78CA68CD" w14:textId="617491AE" w:rsidR="009B4414" w:rsidRPr="00816525" w:rsidRDefault="009B4414" w:rsidP="009B4414">
      <w:pPr>
        <w:pStyle w:val="CETBodytext"/>
        <w:numPr>
          <w:ilvl w:val="0"/>
          <w:numId w:val="26"/>
        </w:numPr>
        <w:rPr>
          <w:lang w:val="en-GB"/>
        </w:rPr>
      </w:pPr>
      <w:r w:rsidRPr="00816525">
        <w:rPr>
          <w:lang w:val="en-GB"/>
        </w:rPr>
        <w:t>Results and discussion 3.2, line 3: “extract” was changed by “biomass”</w:t>
      </w:r>
    </w:p>
    <w:p w14:paraId="10DEB9DB" w14:textId="44CC64F6" w:rsidR="009B4414" w:rsidRPr="00816525" w:rsidRDefault="00CD67D0" w:rsidP="0026788E">
      <w:pPr>
        <w:pStyle w:val="CETBodytext"/>
        <w:numPr>
          <w:ilvl w:val="0"/>
          <w:numId w:val="26"/>
        </w:numPr>
        <w:rPr>
          <w:lang w:val="en-GB"/>
        </w:rPr>
      </w:pPr>
      <w:r w:rsidRPr="00816525">
        <w:rPr>
          <w:lang w:val="en-GB"/>
        </w:rPr>
        <w:t>Results and discussion 3.2, line 8: “extract” was changed by “biomass”</w:t>
      </w:r>
    </w:p>
    <w:p w14:paraId="348C2927" w14:textId="2ABAF4DA" w:rsidR="00C20463" w:rsidRPr="00816525" w:rsidRDefault="00C20463" w:rsidP="00C20463">
      <w:pPr>
        <w:pStyle w:val="CETBodytext"/>
        <w:numPr>
          <w:ilvl w:val="0"/>
          <w:numId w:val="26"/>
        </w:numPr>
        <w:rPr>
          <w:lang w:val="en-GB"/>
        </w:rPr>
      </w:pPr>
      <w:r w:rsidRPr="00816525">
        <w:rPr>
          <w:lang w:val="en-GB"/>
        </w:rPr>
        <w:t xml:space="preserve">Conclusion, line </w:t>
      </w:r>
      <w:r w:rsidR="00F20AF8" w:rsidRPr="00816525">
        <w:rPr>
          <w:lang w:val="en-GB"/>
        </w:rPr>
        <w:t xml:space="preserve">1 to 3: </w:t>
      </w:r>
      <w:r w:rsidR="00816525" w:rsidRPr="00816525">
        <w:t>The experimental design showed that at pH 4.5, temperature of 90°C and</w:t>
      </w:r>
      <w:r w:rsidR="00816525">
        <w:t xml:space="preserve"> </w:t>
      </w:r>
      <w:r w:rsidR="00816525" w:rsidRPr="00816525">
        <w:t xml:space="preserve">11% of </w:t>
      </w:r>
      <w:r w:rsidR="00816525" w:rsidRPr="00816525">
        <w:rPr>
          <w:i/>
        </w:rPr>
        <w:t>Sargassum sp.</w:t>
      </w:r>
      <w:r w:rsidR="00816525" w:rsidRPr="00816525">
        <w:t xml:space="preserve"> biomass were the conditions that enhanced the concentration of reducing power, reducing sugars and organic and inorganic sulfates, obtaining 6.1 ± 0.2 mM/L, 1549.4 ± 1142 mg/L, 1.2 ± 0.06 mg/mL and 0.4 ± 0.09 mg/mL, respectively (Table 3),</w:t>
      </w:r>
    </w:p>
    <w:p w14:paraId="2A881DA4" w14:textId="5B35EB06" w:rsidR="001F773D" w:rsidRPr="00816525" w:rsidRDefault="001F773D" w:rsidP="001F773D">
      <w:pPr>
        <w:pStyle w:val="CETBodytext"/>
        <w:numPr>
          <w:ilvl w:val="0"/>
          <w:numId w:val="25"/>
        </w:numPr>
      </w:pPr>
      <w:r w:rsidRPr="00816525">
        <w:t>Description of Factorial design 2</w:t>
      </w:r>
      <w:r w:rsidRPr="00816525">
        <w:rPr>
          <w:vertAlign w:val="superscript"/>
        </w:rPr>
        <w:t xml:space="preserve">3 </w:t>
      </w:r>
      <w:r w:rsidRPr="00816525">
        <w:t>is not enough for reader. Its better if you add few sentences to explain why you used it and what is this method.</w:t>
      </w:r>
    </w:p>
    <w:p w14:paraId="3E861EB8" w14:textId="62A974FF" w:rsidR="00F20AF8" w:rsidRPr="00816525" w:rsidRDefault="00F20AF8" w:rsidP="004A44BC">
      <w:pPr>
        <w:pStyle w:val="CETBodytext"/>
        <w:ind w:left="360"/>
      </w:pPr>
      <w:r w:rsidRPr="00816525">
        <w:t xml:space="preserve">Answer: </w:t>
      </w:r>
      <w:r w:rsidR="0006382A" w:rsidRPr="00816525">
        <w:t>The factorial design 2</w:t>
      </w:r>
      <w:r w:rsidR="0006382A" w:rsidRPr="00816525">
        <w:rPr>
          <w:vertAlign w:val="superscript"/>
        </w:rPr>
        <w:t>3</w:t>
      </w:r>
      <w:r w:rsidR="0006382A" w:rsidRPr="00816525">
        <w:t xml:space="preserve"> was applied in order to study the combined effect of several factors (pH, temperature and concentration) on a single or more response variables, individually or combined. The design allows the identification of the conditions that improve the response variables.</w:t>
      </w:r>
    </w:p>
    <w:p w14:paraId="7E3B0E91" w14:textId="0CB59A3E" w:rsidR="001F773D" w:rsidRPr="00816525" w:rsidRDefault="001F773D" w:rsidP="001F773D">
      <w:pPr>
        <w:pStyle w:val="CETBodytext"/>
        <w:numPr>
          <w:ilvl w:val="0"/>
          <w:numId w:val="25"/>
        </w:numPr>
      </w:pPr>
      <w:r w:rsidRPr="00816525">
        <w:t>Please add main key figures of your results in conclusions</w:t>
      </w:r>
    </w:p>
    <w:p w14:paraId="2DEAF3E6" w14:textId="7E88F3A8" w:rsidR="00F20AF8" w:rsidRPr="001F773D" w:rsidRDefault="00F20AF8" w:rsidP="00F20AF8">
      <w:pPr>
        <w:pStyle w:val="CETBodytext"/>
        <w:ind w:left="360"/>
      </w:pPr>
      <w:r w:rsidRPr="00816525">
        <w:t xml:space="preserve">Answer: </w:t>
      </w:r>
      <w:r w:rsidR="00072B0F">
        <w:t>Conclusions were rewritten</w:t>
      </w:r>
    </w:p>
    <w:p w14:paraId="7F69283C" w14:textId="003976F1" w:rsidR="001F773D" w:rsidRPr="001F773D" w:rsidRDefault="001F773D" w:rsidP="00600535">
      <w:pPr>
        <w:pStyle w:val="CETBodytext"/>
      </w:pPr>
    </w:p>
    <w:p w14:paraId="3794B9D1" w14:textId="5FA95E97" w:rsidR="001F773D" w:rsidRPr="001F773D" w:rsidRDefault="001F773D" w:rsidP="00600535">
      <w:pPr>
        <w:pStyle w:val="CETBodytext"/>
      </w:pPr>
    </w:p>
    <w:p w14:paraId="44411B04" w14:textId="70D6F5B1" w:rsidR="00FC5509" w:rsidRPr="00F20AF8" w:rsidRDefault="001F773D" w:rsidP="00600535">
      <w:pPr>
        <w:pStyle w:val="CETBodytext"/>
      </w:pPr>
      <w:r w:rsidRPr="00F20AF8">
        <w:t>Reviewer 2</w:t>
      </w:r>
    </w:p>
    <w:p w14:paraId="019C8CD4" w14:textId="77777777" w:rsidR="001F773D" w:rsidRPr="00F20AF8" w:rsidRDefault="001F773D" w:rsidP="00600535">
      <w:pPr>
        <w:pStyle w:val="CETBodytext"/>
      </w:pPr>
    </w:p>
    <w:p w14:paraId="3EF9041A" w14:textId="0C97FBA1" w:rsidR="00FC5509" w:rsidRDefault="00FC5509" w:rsidP="00FC5509">
      <w:pPr>
        <w:pStyle w:val="CETBodytext"/>
        <w:numPr>
          <w:ilvl w:val="0"/>
          <w:numId w:val="23"/>
        </w:numPr>
      </w:pPr>
      <w:r w:rsidRPr="00FC5509">
        <w:t>Abstract, line 4: Delete a "the"</w:t>
      </w:r>
    </w:p>
    <w:p w14:paraId="3D9D18D8" w14:textId="7021EE2D" w:rsidR="004A44BC" w:rsidRDefault="004A44BC" w:rsidP="004A44BC">
      <w:pPr>
        <w:pStyle w:val="CETBodytext"/>
        <w:ind w:left="360"/>
      </w:pPr>
      <w:r>
        <w:t xml:space="preserve">Answer: correction was </w:t>
      </w:r>
      <w:r w:rsidR="00F76DDC">
        <w:t>made</w:t>
      </w:r>
    </w:p>
    <w:p w14:paraId="1600BCCB" w14:textId="074E0E61" w:rsidR="00FC5509" w:rsidRDefault="00FC5509" w:rsidP="00FC5509">
      <w:pPr>
        <w:pStyle w:val="CETBodytext"/>
        <w:numPr>
          <w:ilvl w:val="0"/>
          <w:numId w:val="23"/>
        </w:numPr>
      </w:pPr>
      <w:r w:rsidRPr="00FC5509">
        <w:t xml:space="preserve">Abstract, line </w:t>
      </w:r>
      <w:r>
        <w:t>7</w:t>
      </w:r>
      <w:r w:rsidRPr="00FC5509">
        <w:t>:</w:t>
      </w:r>
      <w:r>
        <w:t xml:space="preserve"> </w:t>
      </w:r>
      <w:r w:rsidRPr="00FC5509">
        <w:t>Substitute “for” with “to”</w:t>
      </w:r>
    </w:p>
    <w:p w14:paraId="588A5436" w14:textId="7C29A602" w:rsidR="004A44BC" w:rsidRDefault="004A44BC" w:rsidP="004A44BC">
      <w:pPr>
        <w:pStyle w:val="CETBodytext"/>
        <w:ind w:left="360"/>
      </w:pPr>
      <w:r>
        <w:t xml:space="preserve">Answer: correction was </w:t>
      </w:r>
      <w:r w:rsidR="00F76DDC">
        <w:t>made</w:t>
      </w:r>
    </w:p>
    <w:p w14:paraId="46A1A1DD" w14:textId="0140F942" w:rsidR="00FC5509" w:rsidRDefault="00FC5509" w:rsidP="00FC5509">
      <w:pPr>
        <w:pStyle w:val="CETBodytext"/>
        <w:numPr>
          <w:ilvl w:val="0"/>
          <w:numId w:val="23"/>
        </w:numPr>
      </w:pPr>
      <w:r>
        <w:t xml:space="preserve">Introduction: </w:t>
      </w:r>
      <w:r w:rsidRPr="00FC5509">
        <w:t>I advise you to check the verb tenses and use the past tense</w:t>
      </w:r>
    </w:p>
    <w:p w14:paraId="34A6F9F2" w14:textId="4C834F65" w:rsidR="004A44BC" w:rsidRDefault="004A44BC" w:rsidP="004A44BC">
      <w:pPr>
        <w:pStyle w:val="CETBodytext"/>
        <w:ind w:left="360"/>
      </w:pPr>
      <w:r>
        <w:t xml:space="preserve">Answer: corrections were </w:t>
      </w:r>
      <w:r w:rsidR="00F76DDC">
        <w:t>made</w:t>
      </w:r>
    </w:p>
    <w:p w14:paraId="3DD23BBC" w14:textId="6EDD4FE3" w:rsidR="005D362D" w:rsidRDefault="006B08A0" w:rsidP="005D362D">
      <w:pPr>
        <w:pStyle w:val="CETBodytext"/>
        <w:numPr>
          <w:ilvl w:val="0"/>
          <w:numId w:val="27"/>
        </w:numPr>
      </w:pPr>
      <w:r>
        <w:t>L</w:t>
      </w:r>
      <w:r w:rsidR="005D362D">
        <w:t>ine 1 “</w:t>
      </w:r>
      <w:r w:rsidR="005D362D" w:rsidRPr="005D362D">
        <w:t>have now emerged</w:t>
      </w:r>
      <w:r w:rsidR="005D362D">
        <w:t>” was changed by “emerged”</w:t>
      </w:r>
    </w:p>
    <w:p w14:paraId="34904DE9" w14:textId="70D74019" w:rsidR="005D362D" w:rsidRDefault="006B08A0" w:rsidP="005D362D">
      <w:pPr>
        <w:pStyle w:val="CETBodytext"/>
        <w:numPr>
          <w:ilvl w:val="0"/>
          <w:numId w:val="27"/>
        </w:numPr>
      </w:pPr>
      <w:r>
        <w:t>L</w:t>
      </w:r>
      <w:r w:rsidR="005D362D">
        <w:t>ine 12 “</w:t>
      </w:r>
      <w:r w:rsidR="005D362D" w:rsidRPr="005D362D">
        <w:t xml:space="preserve">have </w:t>
      </w:r>
      <w:r w:rsidR="005D362D">
        <w:t>been used” was changed by “are used”</w:t>
      </w:r>
    </w:p>
    <w:p w14:paraId="2FC63E6F" w14:textId="59C1D7D9" w:rsidR="005D362D" w:rsidRDefault="006B08A0" w:rsidP="005D362D">
      <w:pPr>
        <w:pStyle w:val="CETBodytext"/>
        <w:numPr>
          <w:ilvl w:val="0"/>
          <w:numId w:val="27"/>
        </w:numPr>
      </w:pPr>
      <w:r>
        <w:t>L</w:t>
      </w:r>
      <w:r w:rsidR="005D362D">
        <w:t>ine 25 “</w:t>
      </w:r>
      <w:r w:rsidR="005D362D" w:rsidRPr="005D362D">
        <w:t xml:space="preserve">have </w:t>
      </w:r>
      <w:r w:rsidR="005D362D">
        <w:t>been reported” was changed by “were reported”</w:t>
      </w:r>
    </w:p>
    <w:p w14:paraId="532781AB" w14:textId="21F01CB5" w:rsidR="005D362D" w:rsidRDefault="006B08A0" w:rsidP="005D362D">
      <w:pPr>
        <w:pStyle w:val="CETBodytext"/>
        <w:numPr>
          <w:ilvl w:val="0"/>
          <w:numId w:val="27"/>
        </w:numPr>
      </w:pPr>
      <w:r>
        <w:t>L</w:t>
      </w:r>
      <w:r w:rsidR="005D362D">
        <w:t>ine 28 “analyze” was changed by “analyzed”</w:t>
      </w:r>
    </w:p>
    <w:p w14:paraId="6DC5850A" w14:textId="13C250D7" w:rsidR="005D362D" w:rsidRDefault="006B08A0" w:rsidP="005D362D">
      <w:pPr>
        <w:pStyle w:val="CETBodytext"/>
        <w:numPr>
          <w:ilvl w:val="0"/>
          <w:numId w:val="27"/>
        </w:numPr>
      </w:pPr>
      <w:r>
        <w:t>L</w:t>
      </w:r>
      <w:r w:rsidR="005D362D">
        <w:t>ine 29 “just mention” was changed by “limited to mention”</w:t>
      </w:r>
    </w:p>
    <w:p w14:paraId="41C78832" w14:textId="645BE702" w:rsidR="00FC5509" w:rsidRDefault="00FC5509" w:rsidP="00FC5509">
      <w:pPr>
        <w:pStyle w:val="CETBodytext"/>
        <w:numPr>
          <w:ilvl w:val="0"/>
          <w:numId w:val="23"/>
        </w:numPr>
      </w:pPr>
      <w:r>
        <w:t xml:space="preserve">Introduction line 7 to 11: </w:t>
      </w:r>
      <w:r w:rsidRPr="00FC5509">
        <w:t>This period is too long, I suggest you split it</w:t>
      </w:r>
    </w:p>
    <w:p w14:paraId="34BA2559" w14:textId="6B660584" w:rsidR="005D362D" w:rsidRDefault="005D362D" w:rsidP="005D362D">
      <w:pPr>
        <w:pStyle w:val="CETBodytext"/>
        <w:ind w:left="360"/>
      </w:pPr>
      <w:r>
        <w:t xml:space="preserve">Answer: </w:t>
      </w:r>
      <w:r w:rsidR="00F76DDC">
        <w:t>t</w:t>
      </w:r>
      <w:r w:rsidR="00F76DDC" w:rsidRPr="00F76DDC">
        <w:t>he paragraph was separated and joined with "In addition"</w:t>
      </w:r>
    </w:p>
    <w:p w14:paraId="541CE1F0" w14:textId="43EE82FA" w:rsidR="00FC5509" w:rsidRDefault="00FC5509" w:rsidP="00FC5509">
      <w:pPr>
        <w:pStyle w:val="CETBodytext"/>
        <w:numPr>
          <w:ilvl w:val="0"/>
          <w:numId w:val="23"/>
        </w:numPr>
      </w:pPr>
      <w:r>
        <w:t xml:space="preserve">Introduction line 20 to 24: </w:t>
      </w:r>
      <w:r w:rsidRPr="00FC5509">
        <w:t>This period is too long, it can be split in two</w:t>
      </w:r>
    </w:p>
    <w:p w14:paraId="30238B8F" w14:textId="7EA8E6F0" w:rsidR="00F76DDC" w:rsidRDefault="00F76DDC" w:rsidP="00F76DDC">
      <w:pPr>
        <w:pStyle w:val="CETBodytext"/>
        <w:ind w:left="360"/>
      </w:pPr>
      <w:r>
        <w:t xml:space="preserve">Answer: </w:t>
      </w:r>
      <w:r w:rsidRPr="00F76DDC">
        <w:t>The paragraph was separated and joined with "</w:t>
      </w:r>
      <w:r>
        <w:t>All these compounds</w:t>
      </w:r>
      <w:r w:rsidRPr="00F76DDC">
        <w:t>"</w:t>
      </w:r>
    </w:p>
    <w:p w14:paraId="7FFB7CF4" w14:textId="1D5E310F" w:rsidR="00FC5509" w:rsidRDefault="00FC5509" w:rsidP="00FC5509">
      <w:pPr>
        <w:pStyle w:val="CETBodytext"/>
        <w:numPr>
          <w:ilvl w:val="0"/>
          <w:numId w:val="23"/>
        </w:numPr>
      </w:pPr>
      <w:r>
        <w:t xml:space="preserve">Introduction line 38: </w:t>
      </w:r>
      <w:r w:rsidRPr="00FC5509">
        <w:t>Substitute ";" with ":"</w:t>
      </w:r>
    </w:p>
    <w:p w14:paraId="5160A51C" w14:textId="09F36D69" w:rsidR="00F76DDC" w:rsidRDefault="00F76DDC" w:rsidP="00F76DDC">
      <w:pPr>
        <w:pStyle w:val="CETBodytext"/>
        <w:ind w:left="360"/>
      </w:pPr>
      <w:r>
        <w:t>Answer: corrections were made</w:t>
      </w:r>
    </w:p>
    <w:p w14:paraId="418CCB50" w14:textId="77777777" w:rsidR="00F76DDC" w:rsidRDefault="00F76DDC" w:rsidP="00F76DDC">
      <w:pPr>
        <w:pStyle w:val="CETBodytext"/>
        <w:ind w:left="360"/>
      </w:pPr>
    </w:p>
    <w:p w14:paraId="08818060" w14:textId="03AB1657" w:rsidR="00FC5509" w:rsidRDefault="00FC5509" w:rsidP="00FC5509">
      <w:pPr>
        <w:pStyle w:val="CETBodytext"/>
        <w:numPr>
          <w:ilvl w:val="0"/>
          <w:numId w:val="23"/>
        </w:numPr>
      </w:pPr>
      <w:r>
        <w:t xml:space="preserve">Materials and methods: </w:t>
      </w:r>
      <w:r w:rsidRPr="00FC5509">
        <w:t>I suggest you enter what type of statistical analysis was conducted and with which software</w:t>
      </w:r>
    </w:p>
    <w:p w14:paraId="5584C20C" w14:textId="5AB904F3" w:rsidR="00F76DDC" w:rsidRDefault="00F76DDC" w:rsidP="00F76DDC">
      <w:pPr>
        <w:pStyle w:val="CETBodytext"/>
        <w:ind w:left="360"/>
      </w:pPr>
      <w:r>
        <w:lastRenderedPageBreak/>
        <w:t xml:space="preserve">Answer: </w:t>
      </w:r>
      <w:r w:rsidRPr="00F76DDC">
        <w:t xml:space="preserve">the correction was made in line 3 of section 2.1 of materials and methods with "A 23 factorial design was performed using the </w:t>
      </w:r>
      <w:proofErr w:type="spellStart"/>
      <w:r w:rsidRPr="00F76DDC">
        <w:t>Desing</w:t>
      </w:r>
      <w:proofErr w:type="spellEnd"/>
      <w:r w:rsidRPr="00F76DDC">
        <w:t>-Expert v11 software".</w:t>
      </w:r>
    </w:p>
    <w:p w14:paraId="17353942" w14:textId="06FFB3C6" w:rsidR="00FC5509" w:rsidRDefault="00FC5509" w:rsidP="00FC5509">
      <w:pPr>
        <w:pStyle w:val="CETBodytext"/>
        <w:numPr>
          <w:ilvl w:val="0"/>
          <w:numId w:val="23"/>
        </w:numPr>
      </w:pPr>
      <w:r>
        <w:t xml:space="preserve">Materials and methods 2.1, line 1: “Sargassum” </w:t>
      </w:r>
      <w:r w:rsidRPr="00FC5509">
        <w:t>In italics</w:t>
      </w:r>
    </w:p>
    <w:p w14:paraId="1AA07013" w14:textId="60E70407" w:rsidR="00F76DDC" w:rsidRDefault="00F76DDC" w:rsidP="00F76DDC">
      <w:pPr>
        <w:pStyle w:val="CETBodytext"/>
        <w:ind w:left="360"/>
      </w:pPr>
      <w:r>
        <w:t>Answer: corrections was made</w:t>
      </w:r>
    </w:p>
    <w:p w14:paraId="6AD6B646" w14:textId="19927C54" w:rsidR="00FC5509" w:rsidRDefault="00FC5509" w:rsidP="00FC5509">
      <w:pPr>
        <w:pStyle w:val="CETBodytext"/>
        <w:numPr>
          <w:ilvl w:val="0"/>
          <w:numId w:val="23"/>
        </w:numPr>
      </w:pPr>
      <w:r>
        <w:t>Materials and methods 2.1, line 1: “</w:t>
      </w:r>
      <w:r w:rsidRPr="00FC5509">
        <w:t>Mexican coast…Mexico</w:t>
      </w:r>
      <w:r>
        <w:t>”</w:t>
      </w:r>
      <w:r w:rsidRPr="00FC5509">
        <w:t xml:space="preserve"> There is a repetition; if you wrote Mexican coasts, I think it is enough to just add the location without specifying the country</w:t>
      </w:r>
    </w:p>
    <w:p w14:paraId="23B858B1" w14:textId="55431C5E" w:rsidR="00F76DDC" w:rsidRDefault="00F76DDC" w:rsidP="00F76DDC">
      <w:pPr>
        <w:pStyle w:val="CETBodytext"/>
        <w:ind w:left="360"/>
      </w:pPr>
      <w:r>
        <w:t>Answer: correction was made</w:t>
      </w:r>
    </w:p>
    <w:p w14:paraId="71B536AF" w14:textId="0AA41699" w:rsidR="00FC5509" w:rsidRDefault="00FC5509" w:rsidP="00FC5509">
      <w:pPr>
        <w:pStyle w:val="CETBodytext"/>
        <w:numPr>
          <w:ilvl w:val="0"/>
          <w:numId w:val="23"/>
        </w:numPr>
      </w:pPr>
      <w:r>
        <w:t>Materials and methods 2.2, line 7: “</w:t>
      </w:r>
      <w:r w:rsidRPr="00FC5509">
        <w:t>Was analyzed in UV</w:t>
      </w:r>
      <w:r>
        <w:t xml:space="preserve">” </w:t>
      </w:r>
      <w:r w:rsidRPr="00FC5509">
        <w:t>Substitute “in” with “by”</w:t>
      </w:r>
    </w:p>
    <w:p w14:paraId="540393E4" w14:textId="2E1BF3EA" w:rsidR="00F76DDC" w:rsidRDefault="00F76DDC" w:rsidP="00F76DDC">
      <w:pPr>
        <w:pStyle w:val="CETBodytext"/>
        <w:ind w:left="360"/>
      </w:pPr>
      <w:r>
        <w:t>Answer: correction was made</w:t>
      </w:r>
    </w:p>
    <w:p w14:paraId="7B989892" w14:textId="01693513" w:rsidR="00FC5509" w:rsidRDefault="00FC5509" w:rsidP="00FC5509">
      <w:pPr>
        <w:pStyle w:val="CETBodytext"/>
        <w:numPr>
          <w:ilvl w:val="0"/>
          <w:numId w:val="23"/>
        </w:numPr>
      </w:pPr>
      <w:r>
        <w:t>Materials and methods 2.</w:t>
      </w:r>
      <w:r w:rsidR="00AA662A">
        <w:t>2</w:t>
      </w:r>
      <w:r>
        <w:t xml:space="preserve">, line 7 to 9: </w:t>
      </w:r>
      <w:r w:rsidRPr="00FC5509">
        <w:t>The verb is missing in this sentence and it is not clear whether it refers to the 2.5 ml buffer it uses.</w:t>
      </w:r>
    </w:p>
    <w:p w14:paraId="3C25BDF2" w14:textId="67559508" w:rsidR="00F76DDC" w:rsidRDefault="00F76DDC" w:rsidP="00F76DDC">
      <w:pPr>
        <w:pStyle w:val="CETBodytext"/>
        <w:ind w:left="360"/>
      </w:pPr>
      <w:r>
        <w:t xml:space="preserve">Answer: correction was made in line 8 with the following: </w:t>
      </w:r>
      <w:r w:rsidRPr="00F76DDC">
        <w:t>phosphate buffer was prepared at 0.2 M, and pH 6.6 with the following reagents</w:t>
      </w:r>
    </w:p>
    <w:p w14:paraId="0D0E1AEB" w14:textId="594337C9" w:rsidR="00FC5509" w:rsidRDefault="00AA662A" w:rsidP="00FC5509">
      <w:pPr>
        <w:pStyle w:val="CETBodytext"/>
        <w:numPr>
          <w:ilvl w:val="0"/>
          <w:numId w:val="23"/>
        </w:numPr>
      </w:pPr>
      <w:r>
        <w:t xml:space="preserve">Materials and methods 2.4, line 15 to 16: </w:t>
      </w:r>
      <w:r w:rsidRPr="00AA662A">
        <w:t>Please add unit of measures for ES, H, and NH.</w:t>
      </w:r>
    </w:p>
    <w:p w14:paraId="02BFF8BC" w14:textId="0FB64B7F" w:rsidR="00F76DDC" w:rsidRDefault="00F76DDC" w:rsidP="00F76DDC">
      <w:pPr>
        <w:pStyle w:val="CETBodytext"/>
        <w:ind w:left="360"/>
      </w:pPr>
      <w:r>
        <w:t>Answer: correction was made</w:t>
      </w:r>
    </w:p>
    <w:p w14:paraId="50D8E214" w14:textId="5774A60D" w:rsidR="00AA662A" w:rsidRDefault="00AA662A" w:rsidP="00FC5509">
      <w:pPr>
        <w:pStyle w:val="CETBodytext"/>
        <w:numPr>
          <w:ilvl w:val="0"/>
          <w:numId w:val="23"/>
        </w:numPr>
      </w:pPr>
      <w:r>
        <w:t xml:space="preserve">Results and discussion: </w:t>
      </w:r>
      <w:r w:rsidRPr="00AA662A">
        <w:t>Check verb tenses and use the past tense where necessary</w:t>
      </w:r>
    </w:p>
    <w:p w14:paraId="48B78C67" w14:textId="77777777" w:rsidR="00F76DDC" w:rsidRDefault="00F76DDC" w:rsidP="00F76DDC">
      <w:pPr>
        <w:pStyle w:val="CETBodytext"/>
        <w:ind w:left="360"/>
      </w:pPr>
      <w:r>
        <w:t>Answer: corrections were made</w:t>
      </w:r>
    </w:p>
    <w:p w14:paraId="44921D17" w14:textId="223C8CAD" w:rsidR="00F76DDC" w:rsidRDefault="00F76DDC" w:rsidP="00F76DDC">
      <w:pPr>
        <w:pStyle w:val="CETBodytext"/>
        <w:numPr>
          <w:ilvl w:val="0"/>
          <w:numId w:val="27"/>
        </w:numPr>
      </w:pPr>
      <w:r>
        <w:t>Line 1</w:t>
      </w:r>
      <w:r w:rsidR="006B08A0">
        <w:t>2, section 3.1</w:t>
      </w:r>
      <w:r>
        <w:t xml:space="preserve"> “</w:t>
      </w:r>
      <w:r w:rsidRPr="005D362D">
        <w:t xml:space="preserve">have </w:t>
      </w:r>
      <w:r w:rsidR="006B08A0">
        <w:t>been reported</w:t>
      </w:r>
      <w:r>
        <w:t>” was changed by “</w:t>
      </w:r>
      <w:r w:rsidR="006B08A0">
        <w:t>were reported</w:t>
      </w:r>
      <w:r>
        <w:t>”</w:t>
      </w:r>
    </w:p>
    <w:p w14:paraId="311333D0" w14:textId="3E3D7296" w:rsidR="00F76DDC" w:rsidRDefault="006B08A0" w:rsidP="006B08A0">
      <w:pPr>
        <w:pStyle w:val="CETBodytext"/>
        <w:numPr>
          <w:ilvl w:val="0"/>
          <w:numId w:val="27"/>
        </w:numPr>
      </w:pPr>
      <w:r>
        <w:t>L</w:t>
      </w:r>
      <w:r w:rsidR="00F76DDC">
        <w:t xml:space="preserve">ine </w:t>
      </w:r>
      <w:r>
        <w:t xml:space="preserve">20 to 21, section 3.2 </w:t>
      </w:r>
      <w:r w:rsidR="00F76DDC">
        <w:t>“</w:t>
      </w:r>
      <w:r>
        <w:t>It has been reported the use</w:t>
      </w:r>
      <w:r w:rsidR="00F76DDC">
        <w:t>” was changed by “</w:t>
      </w:r>
      <w:r>
        <w:t>The use</w:t>
      </w:r>
      <w:r w:rsidR="00F76DDC">
        <w:t>”</w:t>
      </w:r>
      <w:r>
        <w:t xml:space="preserve"> following by “was reported”</w:t>
      </w:r>
    </w:p>
    <w:p w14:paraId="6B2EDBF2" w14:textId="5661C320" w:rsidR="00AA662A" w:rsidRDefault="00AA662A" w:rsidP="00FC5509">
      <w:pPr>
        <w:pStyle w:val="CETBodytext"/>
        <w:numPr>
          <w:ilvl w:val="0"/>
          <w:numId w:val="23"/>
        </w:numPr>
      </w:pPr>
      <w:r>
        <w:t>Conclusion, line 2: “Sargassum sp.” In italic</w:t>
      </w:r>
    </w:p>
    <w:p w14:paraId="7F878C45" w14:textId="3A94B380" w:rsidR="006B08A0" w:rsidRPr="00FC5509" w:rsidRDefault="006B08A0" w:rsidP="006B08A0">
      <w:pPr>
        <w:pStyle w:val="CETBodytext"/>
        <w:ind w:left="360"/>
      </w:pPr>
      <w:r>
        <w:t>Answer: correction was made</w:t>
      </w:r>
    </w:p>
    <w:p w14:paraId="33BCD526" w14:textId="77777777" w:rsidR="00FC5509" w:rsidRPr="00FC5509" w:rsidRDefault="00FC5509" w:rsidP="00600535">
      <w:pPr>
        <w:pStyle w:val="CETBodytext"/>
      </w:pPr>
    </w:p>
    <w:sectPr w:rsidR="00FC5509" w:rsidRPr="00FC550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8449" w14:textId="77777777" w:rsidR="000C35CB" w:rsidRDefault="000C35CB" w:rsidP="004F5E36">
      <w:r>
        <w:separator/>
      </w:r>
    </w:p>
  </w:endnote>
  <w:endnote w:type="continuationSeparator" w:id="0">
    <w:p w14:paraId="1DB995A9" w14:textId="77777777" w:rsidR="000C35CB" w:rsidRDefault="000C35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E2D5" w14:textId="77777777" w:rsidR="000C35CB" w:rsidRDefault="000C35CB" w:rsidP="004F5E36">
      <w:r>
        <w:separator/>
      </w:r>
    </w:p>
  </w:footnote>
  <w:footnote w:type="continuationSeparator" w:id="0">
    <w:p w14:paraId="142486C9" w14:textId="77777777" w:rsidR="000C35CB" w:rsidRDefault="000C35C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1B1C4B"/>
    <w:multiLevelType w:val="hybridMultilevel"/>
    <w:tmpl w:val="1D6C365A"/>
    <w:lvl w:ilvl="0" w:tplc="080A0001">
      <w:start w:val="1"/>
      <w:numFmt w:val="bullet"/>
      <w:lvlText w:val=""/>
      <w:lvlJc w:val="left"/>
      <w:pPr>
        <w:ind w:left="1085" w:hanging="360"/>
      </w:pPr>
      <w:rPr>
        <w:rFonts w:ascii="Symbol" w:hAnsi="Symbol" w:hint="default"/>
      </w:rPr>
    </w:lvl>
    <w:lvl w:ilvl="1" w:tplc="080A0003" w:tentative="1">
      <w:start w:val="1"/>
      <w:numFmt w:val="bullet"/>
      <w:lvlText w:val="o"/>
      <w:lvlJc w:val="left"/>
      <w:pPr>
        <w:ind w:left="1805" w:hanging="360"/>
      </w:pPr>
      <w:rPr>
        <w:rFonts w:ascii="Courier New" w:hAnsi="Courier New" w:cs="Courier New" w:hint="default"/>
      </w:rPr>
    </w:lvl>
    <w:lvl w:ilvl="2" w:tplc="080A0005" w:tentative="1">
      <w:start w:val="1"/>
      <w:numFmt w:val="bullet"/>
      <w:lvlText w:val=""/>
      <w:lvlJc w:val="left"/>
      <w:pPr>
        <w:ind w:left="2525" w:hanging="360"/>
      </w:pPr>
      <w:rPr>
        <w:rFonts w:ascii="Wingdings" w:hAnsi="Wingdings" w:hint="default"/>
      </w:rPr>
    </w:lvl>
    <w:lvl w:ilvl="3" w:tplc="080A0001" w:tentative="1">
      <w:start w:val="1"/>
      <w:numFmt w:val="bullet"/>
      <w:lvlText w:val=""/>
      <w:lvlJc w:val="left"/>
      <w:pPr>
        <w:ind w:left="3245" w:hanging="360"/>
      </w:pPr>
      <w:rPr>
        <w:rFonts w:ascii="Symbol" w:hAnsi="Symbol" w:hint="default"/>
      </w:rPr>
    </w:lvl>
    <w:lvl w:ilvl="4" w:tplc="080A0003" w:tentative="1">
      <w:start w:val="1"/>
      <w:numFmt w:val="bullet"/>
      <w:lvlText w:val="o"/>
      <w:lvlJc w:val="left"/>
      <w:pPr>
        <w:ind w:left="3965" w:hanging="360"/>
      </w:pPr>
      <w:rPr>
        <w:rFonts w:ascii="Courier New" w:hAnsi="Courier New" w:cs="Courier New" w:hint="default"/>
      </w:rPr>
    </w:lvl>
    <w:lvl w:ilvl="5" w:tplc="080A0005" w:tentative="1">
      <w:start w:val="1"/>
      <w:numFmt w:val="bullet"/>
      <w:lvlText w:val=""/>
      <w:lvlJc w:val="left"/>
      <w:pPr>
        <w:ind w:left="4685" w:hanging="360"/>
      </w:pPr>
      <w:rPr>
        <w:rFonts w:ascii="Wingdings" w:hAnsi="Wingdings" w:hint="default"/>
      </w:rPr>
    </w:lvl>
    <w:lvl w:ilvl="6" w:tplc="080A0001" w:tentative="1">
      <w:start w:val="1"/>
      <w:numFmt w:val="bullet"/>
      <w:lvlText w:val=""/>
      <w:lvlJc w:val="left"/>
      <w:pPr>
        <w:ind w:left="5405" w:hanging="360"/>
      </w:pPr>
      <w:rPr>
        <w:rFonts w:ascii="Symbol" w:hAnsi="Symbol" w:hint="default"/>
      </w:rPr>
    </w:lvl>
    <w:lvl w:ilvl="7" w:tplc="080A0003" w:tentative="1">
      <w:start w:val="1"/>
      <w:numFmt w:val="bullet"/>
      <w:lvlText w:val="o"/>
      <w:lvlJc w:val="left"/>
      <w:pPr>
        <w:ind w:left="6125" w:hanging="360"/>
      </w:pPr>
      <w:rPr>
        <w:rFonts w:ascii="Courier New" w:hAnsi="Courier New" w:cs="Courier New" w:hint="default"/>
      </w:rPr>
    </w:lvl>
    <w:lvl w:ilvl="8" w:tplc="080A0005" w:tentative="1">
      <w:start w:val="1"/>
      <w:numFmt w:val="bullet"/>
      <w:lvlText w:val=""/>
      <w:lvlJc w:val="left"/>
      <w:pPr>
        <w:ind w:left="6845" w:hanging="360"/>
      </w:pPr>
      <w:rPr>
        <w:rFonts w:ascii="Wingdings" w:hAnsi="Wingdings" w:hint="default"/>
      </w:rPr>
    </w:lvl>
  </w:abstractNum>
  <w:abstractNum w:abstractNumId="11" w15:restartNumberingAfterBreak="0">
    <w:nsid w:val="148861CD"/>
    <w:multiLevelType w:val="hybridMultilevel"/>
    <w:tmpl w:val="801AE8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8217E"/>
    <w:multiLevelType w:val="multilevel"/>
    <w:tmpl w:val="3D7626E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A221332"/>
    <w:multiLevelType w:val="hybridMultilevel"/>
    <w:tmpl w:val="42DEC7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5495370"/>
    <w:multiLevelType w:val="hybridMultilevel"/>
    <w:tmpl w:val="749AB2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23115"/>
    <w:multiLevelType w:val="hybridMultilevel"/>
    <w:tmpl w:val="1486C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6"/>
  </w:num>
  <w:num w:numId="23">
    <w:abstractNumId w:val="25"/>
  </w:num>
  <w:num w:numId="24">
    <w:abstractNumId w:val="11"/>
  </w:num>
  <w:num w:numId="25">
    <w:abstractNumId w:val="13"/>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BA"/>
    <w:rsid w:val="000027C0"/>
    <w:rsid w:val="000033F8"/>
    <w:rsid w:val="000052FB"/>
    <w:rsid w:val="00005A19"/>
    <w:rsid w:val="000117CB"/>
    <w:rsid w:val="00024A79"/>
    <w:rsid w:val="0003148D"/>
    <w:rsid w:val="00031EEC"/>
    <w:rsid w:val="00032E8A"/>
    <w:rsid w:val="00040824"/>
    <w:rsid w:val="00045E2D"/>
    <w:rsid w:val="00051566"/>
    <w:rsid w:val="000525B7"/>
    <w:rsid w:val="00054288"/>
    <w:rsid w:val="00054370"/>
    <w:rsid w:val="000562A9"/>
    <w:rsid w:val="00062042"/>
    <w:rsid w:val="00062A9A"/>
    <w:rsid w:val="0006382A"/>
    <w:rsid w:val="00065058"/>
    <w:rsid w:val="00065644"/>
    <w:rsid w:val="00067882"/>
    <w:rsid w:val="00067A42"/>
    <w:rsid w:val="000700AA"/>
    <w:rsid w:val="00072B0F"/>
    <w:rsid w:val="00072CA7"/>
    <w:rsid w:val="00082866"/>
    <w:rsid w:val="00083396"/>
    <w:rsid w:val="000868B3"/>
    <w:rsid w:val="00086C39"/>
    <w:rsid w:val="00093341"/>
    <w:rsid w:val="00096433"/>
    <w:rsid w:val="000A03B2"/>
    <w:rsid w:val="000A1D5F"/>
    <w:rsid w:val="000A2FFB"/>
    <w:rsid w:val="000A433B"/>
    <w:rsid w:val="000B22F3"/>
    <w:rsid w:val="000B258C"/>
    <w:rsid w:val="000B4CF1"/>
    <w:rsid w:val="000C277A"/>
    <w:rsid w:val="000C35CB"/>
    <w:rsid w:val="000C5E99"/>
    <w:rsid w:val="000D0268"/>
    <w:rsid w:val="000D14FA"/>
    <w:rsid w:val="000D1B46"/>
    <w:rsid w:val="000D34BE"/>
    <w:rsid w:val="000D68DE"/>
    <w:rsid w:val="000E102F"/>
    <w:rsid w:val="000E36F1"/>
    <w:rsid w:val="000E3A73"/>
    <w:rsid w:val="000E414A"/>
    <w:rsid w:val="000E79C2"/>
    <w:rsid w:val="000F093C"/>
    <w:rsid w:val="000F0FE1"/>
    <w:rsid w:val="000F5128"/>
    <w:rsid w:val="000F787B"/>
    <w:rsid w:val="00115012"/>
    <w:rsid w:val="0012091F"/>
    <w:rsid w:val="0012381A"/>
    <w:rsid w:val="00124DD9"/>
    <w:rsid w:val="00126BC2"/>
    <w:rsid w:val="001308B6"/>
    <w:rsid w:val="0013121F"/>
    <w:rsid w:val="00131FE6"/>
    <w:rsid w:val="0013263F"/>
    <w:rsid w:val="001331DF"/>
    <w:rsid w:val="0013498D"/>
    <w:rsid w:val="00134DE4"/>
    <w:rsid w:val="0014034D"/>
    <w:rsid w:val="00144D16"/>
    <w:rsid w:val="001452A3"/>
    <w:rsid w:val="0015088C"/>
    <w:rsid w:val="00150E59"/>
    <w:rsid w:val="00152DE3"/>
    <w:rsid w:val="00162233"/>
    <w:rsid w:val="001645B0"/>
    <w:rsid w:val="00164CF9"/>
    <w:rsid w:val="001667A6"/>
    <w:rsid w:val="00172BF3"/>
    <w:rsid w:val="00184350"/>
    <w:rsid w:val="00184AD6"/>
    <w:rsid w:val="0018753F"/>
    <w:rsid w:val="001A106A"/>
    <w:rsid w:val="001A4164"/>
    <w:rsid w:val="001A4AF7"/>
    <w:rsid w:val="001B0349"/>
    <w:rsid w:val="001B1E93"/>
    <w:rsid w:val="001B472F"/>
    <w:rsid w:val="001B65C1"/>
    <w:rsid w:val="001B6760"/>
    <w:rsid w:val="001B74DD"/>
    <w:rsid w:val="001B78CC"/>
    <w:rsid w:val="001C1DF4"/>
    <w:rsid w:val="001C6053"/>
    <w:rsid w:val="001C684B"/>
    <w:rsid w:val="001D0CFB"/>
    <w:rsid w:val="001D21AF"/>
    <w:rsid w:val="001D4F12"/>
    <w:rsid w:val="001D53FC"/>
    <w:rsid w:val="001E381A"/>
    <w:rsid w:val="001F42A5"/>
    <w:rsid w:val="001F7486"/>
    <w:rsid w:val="001F773D"/>
    <w:rsid w:val="001F7B9D"/>
    <w:rsid w:val="001F7BB9"/>
    <w:rsid w:val="00201C93"/>
    <w:rsid w:val="00202E38"/>
    <w:rsid w:val="0021566F"/>
    <w:rsid w:val="002176E9"/>
    <w:rsid w:val="002224B4"/>
    <w:rsid w:val="00235DA4"/>
    <w:rsid w:val="00240671"/>
    <w:rsid w:val="002406FF"/>
    <w:rsid w:val="002447EF"/>
    <w:rsid w:val="002454D7"/>
    <w:rsid w:val="00247D58"/>
    <w:rsid w:val="00251550"/>
    <w:rsid w:val="00263B05"/>
    <w:rsid w:val="0026788E"/>
    <w:rsid w:val="0027221A"/>
    <w:rsid w:val="00272289"/>
    <w:rsid w:val="00275B61"/>
    <w:rsid w:val="00280FAF"/>
    <w:rsid w:val="00282656"/>
    <w:rsid w:val="002937E6"/>
    <w:rsid w:val="00293F37"/>
    <w:rsid w:val="00296B83"/>
    <w:rsid w:val="002979F3"/>
    <w:rsid w:val="002B2528"/>
    <w:rsid w:val="002B4015"/>
    <w:rsid w:val="002B45CD"/>
    <w:rsid w:val="002B78CE"/>
    <w:rsid w:val="002C055F"/>
    <w:rsid w:val="002C2FB6"/>
    <w:rsid w:val="002E3D43"/>
    <w:rsid w:val="002E3F4F"/>
    <w:rsid w:val="002E4A65"/>
    <w:rsid w:val="002E5FA7"/>
    <w:rsid w:val="002E62DC"/>
    <w:rsid w:val="002E7638"/>
    <w:rsid w:val="002E79B6"/>
    <w:rsid w:val="002F1F16"/>
    <w:rsid w:val="002F3309"/>
    <w:rsid w:val="002F4CF6"/>
    <w:rsid w:val="003008CE"/>
    <w:rsid w:val="003009B7"/>
    <w:rsid w:val="00300E56"/>
    <w:rsid w:val="003010FA"/>
    <w:rsid w:val="0030152C"/>
    <w:rsid w:val="0030469C"/>
    <w:rsid w:val="003048D8"/>
    <w:rsid w:val="00314A68"/>
    <w:rsid w:val="00321CA6"/>
    <w:rsid w:val="003220C1"/>
    <w:rsid w:val="00323763"/>
    <w:rsid w:val="00323C5F"/>
    <w:rsid w:val="00323CE2"/>
    <w:rsid w:val="003257F2"/>
    <w:rsid w:val="00334191"/>
    <w:rsid w:val="00334C09"/>
    <w:rsid w:val="00345B90"/>
    <w:rsid w:val="00345F32"/>
    <w:rsid w:val="003502D6"/>
    <w:rsid w:val="00354F18"/>
    <w:rsid w:val="00360603"/>
    <w:rsid w:val="00361FFE"/>
    <w:rsid w:val="003723D4"/>
    <w:rsid w:val="003771F3"/>
    <w:rsid w:val="00381905"/>
    <w:rsid w:val="00384CC8"/>
    <w:rsid w:val="003871FD"/>
    <w:rsid w:val="003A0EBC"/>
    <w:rsid w:val="003A1E30"/>
    <w:rsid w:val="003A2829"/>
    <w:rsid w:val="003A312B"/>
    <w:rsid w:val="003A7D1C"/>
    <w:rsid w:val="003B304B"/>
    <w:rsid w:val="003B3146"/>
    <w:rsid w:val="003B7CA2"/>
    <w:rsid w:val="003C58AE"/>
    <w:rsid w:val="003E4A60"/>
    <w:rsid w:val="003F015E"/>
    <w:rsid w:val="003F2653"/>
    <w:rsid w:val="00400414"/>
    <w:rsid w:val="00403A40"/>
    <w:rsid w:val="00405B5F"/>
    <w:rsid w:val="00410FE2"/>
    <w:rsid w:val="00413BE0"/>
    <w:rsid w:val="0041446B"/>
    <w:rsid w:val="00434BB7"/>
    <w:rsid w:val="0044071E"/>
    <w:rsid w:val="0044329C"/>
    <w:rsid w:val="004451E4"/>
    <w:rsid w:val="00447F00"/>
    <w:rsid w:val="00453E24"/>
    <w:rsid w:val="004559BB"/>
    <w:rsid w:val="00456362"/>
    <w:rsid w:val="00457456"/>
    <w:rsid w:val="004577FE"/>
    <w:rsid w:val="00457B9C"/>
    <w:rsid w:val="0046164A"/>
    <w:rsid w:val="004628D2"/>
    <w:rsid w:val="00462DCD"/>
    <w:rsid w:val="004648AD"/>
    <w:rsid w:val="00465AAC"/>
    <w:rsid w:val="004703A9"/>
    <w:rsid w:val="004760DE"/>
    <w:rsid w:val="004763D7"/>
    <w:rsid w:val="00484AB3"/>
    <w:rsid w:val="00492A44"/>
    <w:rsid w:val="00496100"/>
    <w:rsid w:val="004A004E"/>
    <w:rsid w:val="004A208A"/>
    <w:rsid w:val="004A2399"/>
    <w:rsid w:val="004A24CF"/>
    <w:rsid w:val="004A266D"/>
    <w:rsid w:val="004A44BC"/>
    <w:rsid w:val="004B09B2"/>
    <w:rsid w:val="004B0C12"/>
    <w:rsid w:val="004B1E5A"/>
    <w:rsid w:val="004B246D"/>
    <w:rsid w:val="004B3243"/>
    <w:rsid w:val="004B56EA"/>
    <w:rsid w:val="004B60EF"/>
    <w:rsid w:val="004B6278"/>
    <w:rsid w:val="004B72FB"/>
    <w:rsid w:val="004C3D1D"/>
    <w:rsid w:val="004C3D84"/>
    <w:rsid w:val="004C7913"/>
    <w:rsid w:val="004D2A38"/>
    <w:rsid w:val="004D6555"/>
    <w:rsid w:val="004E3689"/>
    <w:rsid w:val="004E4DD6"/>
    <w:rsid w:val="004E6371"/>
    <w:rsid w:val="004E7180"/>
    <w:rsid w:val="004F5E36"/>
    <w:rsid w:val="00500FF2"/>
    <w:rsid w:val="005031E2"/>
    <w:rsid w:val="00506379"/>
    <w:rsid w:val="00507ABC"/>
    <w:rsid w:val="00507B47"/>
    <w:rsid w:val="00507BEF"/>
    <w:rsid w:val="00507CC9"/>
    <w:rsid w:val="005119A5"/>
    <w:rsid w:val="005126E3"/>
    <w:rsid w:val="00527613"/>
    <w:rsid w:val="005278B7"/>
    <w:rsid w:val="00532016"/>
    <w:rsid w:val="005346C8"/>
    <w:rsid w:val="005353C9"/>
    <w:rsid w:val="00543E7D"/>
    <w:rsid w:val="00545985"/>
    <w:rsid w:val="00547007"/>
    <w:rsid w:val="00547A68"/>
    <w:rsid w:val="005531C9"/>
    <w:rsid w:val="00554584"/>
    <w:rsid w:val="00554F08"/>
    <w:rsid w:val="00557E00"/>
    <w:rsid w:val="00562EA3"/>
    <w:rsid w:val="00570C43"/>
    <w:rsid w:val="0058123D"/>
    <w:rsid w:val="005870A4"/>
    <w:rsid w:val="005A3769"/>
    <w:rsid w:val="005A589D"/>
    <w:rsid w:val="005B1E7B"/>
    <w:rsid w:val="005B2110"/>
    <w:rsid w:val="005B5343"/>
    <w:rsid w:val="005B61E6"/>
    <w:rsid w:val="005C0D4E"/>
    <w:rsid w:val="005C77E1"/>
    <w:rsid w:val="005D362D"/>
    <w:rsid w:val="005D51BB"/>
    <w:rsid w:val="005D668A"/>
    <w:rsid w:val="005D6A2F"/>
    <w:rsid w:val="005D7133"/>
    <w:rsid w:val="005D7ED6"/>
    <w:rsid w:val="005D7FE0"/>
    <w:rsid w:val="005E1263"/>
    <w:rsid w:val="005E1A82"/>
    <w:rsid w:val="005E1BC5"/>
    <w:rsid w:val="005E6478"/>
    <w:rsid w:val="005E794C"/>
    <w:rsid w:val="005F0A28"/>
    <w:rsid w:val="005F0E5E"/>
    <w:rsid w:val="005F46B5"/>
    <w:rsid w:val="005F66DE"/>
    <w:rsid w:val="00600535"/>
    <w:rsid w:val="006058E0"/>
    <w:rsid w:val="00607BD9"/>
    <w:rsid w:val="00610CD6"/>
    <w:rsid w:val="00620391"/>
    <w:rsid w:val="00620D45"/>
    <w:rsid w:val="00620DEE"/>
    <w:rsid w:val="00621F92"/>
    <w:rsid w:val="0062280A"/>
    <w:rsid w:val="0062417B"/>
    <w:rsid w:val="00624B3D"/>
    <w:rsid w:val="00625639"/>
    <w:rsid w:val="006258B4"/>
    <w:rsid w:val="00631B33"/>
    <w:rsid w:val="00633648"/>
    <w:rsid w:val="00634805"/>
    <w:rsid w:val="006378D6"/>
    <w:rsid w:val="0064184D"/>
    <w:rsid w:val="006422CC"/>
    <w:rsid w:val="00642E67"/>
    <w:rsid w:val="00650F7F"/>
    <w:rsid w:val="0066025F"/>
    <w:rsid w:val="006608BD"/>
    <w:rsid w:val="00660E3E"/>
    <w:rsid w:val="00662E74"/>
    <w:rsid w:val="00666235"/>
    <w:rsid w:val="00674BDB"/>
    <w:rsid w:val="00680C23"/>
    <w:rsid w:val="00681793"/>
    <w:rsid w:val="00682801"/>
    <w:rsid w:val="00684CBE"/>
    <w:rsid w:val="00693766"/>
    <w:rsid w:val="00697B84"/>
    <w:rsid w:val="006A3281"/>
    <w:rsid w:val="006A34D1"/>
    <w:rsid w:val="006B013D"/>
    <w:rsid w:val="006B08A0"/>
    <w:rsid w:val="006B4888"/>
    <w:rsid w:val="006B7EF3"/>
    <w:rsid w:val="006C2450"/>
    <w:rsid w:val="006C2E45"/>
    <w:rsid w:val="006C359C"/>
    <w:rsid w:val="006C5579"/>
    <w:rsid w:val="006C564F"/>
    <w:rsid w:val="006C5C26"/>
    <w:rsid w:val="006D6E8B"/>
    <w:rsid w:val="006E1B1E"/>
    <w:rsid w:val="006E737D"/>
    <w:rsid w:val="006F0A9E"/>
    <w:rsid w:val="006F670F"/>
    <w:rsid w:val="006F691E"/>
    <w:rsid w:val="006F79FD"/>
    <w:rsid w:val="00707DD1"/>
    <w:rsid w:val="00713973"/>
    <w:rsid w:val="007144BB"/>
    <w:rsid w:val="007168CB"/>
    <w:rsid w:val="00720A24"/>
    <w:rsid w:val="0072196E"/>
    <w:rsid w:val="00723FD1"/>
    <w:rsid w:val="00725CBD"/>
    <w:rsid w:val="007266ED"/>
    <w:rsid w:val="00732386"/>
    <w:rsid w:val="0073514D"/>
    <w:rsid w:val="00742FDD"/>
    <w:rsid w:val="007447F3"/>
    <w:rsid w:val="007468D2"/>
    <w:rsid w:val="00750370"/>
    <w:rsid w:val="0075499F"/>
    <w:rsid w:val="00754C6A"/>
    <w:rsid w:val="007661C8"/>
    <w:rsid w:val="0077098D"/>
    <w:rsid w:val="00772852"/>
    <w:rsid w:val="007749F3"/>
    <w:rsid w:val="00775B91"/>
    <w:rsid w:val="007867BC"/>
    <w:rsid w:val="007931FA"/>
    <w:rsid w:val="00793684"/>
    <w:rsid w:val="0079526F"/>
    <w:rsid w:val="007A4861"/>
    <w:rsid w:val="007A7A31"/>
    <w:rsid w:val="007A7BBA"/>
    <w:rsid w:val="007A7F3C"/>
    <w:rsid w:val="007B0C50"/>
    <w:rsid w:val="007B179A"/>
    <w:rsid w:val="007B3277"/>
    <w:rsid w:val="007B48F9"/>
    <w:rsid w:val="007C1A43"/>
    <w:rsid w:val="007C2468"/>
    <w:rsid w:val="007C2E68"/>
    <w:rsid w:val="007C51D5"/>
    <w:rsid w:val="007D0951"/>
    <w:rsid w:val="007D2E5A"/>
    <w:rsid w:val="007E1965"/>
    <w:rsid w:val="007E2779"/>
    <w:rsid w:val="007F0219"/>
    <w:rsid w:val="007F095A"/>
    <w:rsid w:val="0080013E"/>
    <w:rsid w:val="00802924"/>
    <w:rsid w:val="00813288"/>
    <w:rsid w:val="008134DB"/>
    <w:rsid w:val="00816525"/>
    <w:rsid w:val="008168FC"/>
    <w:rsid w:val="00822224"/>
    <w:rsid w:val="00830996"/>
    <w:rsid w:val="008329D5"/>
    <w:rsid w:val="008345F1"/>
    <w:rsid w:val="00841110"/>
    <w:rsid w:val="0084381A"/>
    <w:rsid w:val="00847E3C"/>
    <w:rsid w:val="008520F3"/>
    <w:rsid w:val="0085363A"/>
    <w:rsid w:val="008544D6"/>
    <w:rsid w:val="00864483"/>
    <w:rsid w:val="00865B07"/>
    <w:rsid w:val="008667EA"/>
    <w:rsid w:val="0087637F"/>
    <w:rsid w:val="008811FD"/>
    <w:rsid w:val="00884540"/>
    <w:rsid w:val="00892AD5"/>
    <w:rsid w:val="00894BE4"/>
    <w:rsid w:val="008A0CD6"/>
    <w:rsid w:val="008A1512"/>
    <w:rsid w:val="008A4BBF"/>
    <w:rsid w:val="008B0AEA"/>
    <w:rsid w:val="008B1145"/>
    <w:rsid w:val="008B4105"/>
    <w:rsid w:val="008C21D1"/>
    <w:rsid w:val="008D32B9"/>
    <w:rsid w:val="008D433B"/>
    <w:rsid w:val="008D4805"/>
    <w:rsid w:val="008D4A16"/>
    <w:rsid w:val="008E566E"/>
    <w:rsid w:val="008E7FE2"/>
    <w:rsid w:val="0090161A"/>
    <w:rsid w:val="00901EB6"/>
    <w:rsid w:val="009024D8"/>
    <w:rsid w:val="00904C62"/>
    <w:rsid w:val="00904E67"/>
    <w:rsid w:val="009054A1"/>
    <w:rsid w:val="00917630"/>
    <w:rsid w:val="009227F2"/>
    <w:rsid w:val="00922BA8"/>
    <w:rsid w:val="00924DAC"/>
    <w:rsid w:val="00927058"/>
    <w:rsid w:val="00927717"/>
    <w:rsid w:val="00933041"/>
    <w:rsid w:val="00935EB2"/>
    <w:rsid w:val="00937F55"/>
    <w:rsid w:val="00942750"/>
    <w:rsid w:val="009450CE"/>
    <w:rsid w:val="009459BB"/>
    <w:rsid w:val="00947179"/>
    <w:rsid w:val="009508B7"/>
    <w:rsid w:val="0095164B"/>
    <w:rsid w:val="00953075"/>
    <w:rsid w:val="00954090"/>
    <w:rsid w:val="0095616D"/>
    <w:rsid w:val="009573E7"/>
    <w:rsid w:val="00963E05"/>
    <w:rsid w:val="00964A0B"/>
    <w:rsid w:val="00964A45"/>
    <w:rsid w:val="00966329"/>
    <w:rsid w:val="00966F76"/>
    <w:rsid w:val="00967103"/>
    <w:rsid w:val="00967843"/>
    <w:rsid w:val="00967D54"/>
    <w:rsid w:val="00971028"/>
    <w:rsid w:val="00993B84"/>
    <w:rsid w:val="00996483"/>
    <w:rsid w:val="00996F5A"/>
    <w:rsid w:val="009A1EBD"/>
    <w:rsid w:val="009A2B15"/>
    <w:rsid w:val="009B041A"/>
    <w:rsid w:val="009B4414"/>
    <w:rsid w:val="009C0706"/>
    <w:rsid w:val="009C37C3"/>
    <w:rsid w:val="009C775E"/>
    <w:rsid w:val="009C7C86"/>
    <w:rsid w:val="009D2856"/>
    <w:rsid w:val="009D2FF7"/>
    <w:rsid w:val="009D40D1"/>
    <w:rsid w:val="009D5550"/>
    <w:rsid w:val="009D6D6E"/>
    <w:rsid w:val="009E1401"/>
    <w:rsid w:val="009E15A8"/>
    <w:rsid w:val="009E3E16"/>
    <w:rsid w:val="009E7884"/>
    <w:rsid w:val="009E788A"/>
    <w:rsid w:val="009F0E08"/>
    <w:rsid w:val="00A05B28"/>
    <w:rsid w:val="00A1763D"/>
    <w:rsid w:val="00A17CEC"/>
    <w:rsid w:val="00A22D71"/>
    <w:rsid w:val="00A238E1"/>
    <w:rsid w:val="00A27EF0"/>
    <w:rsid w:val="00A31ACF"/>
    <w:rsid w:val="00A321DB"/>
    <w:rsid w:val="00A32E2B"/>
    <w:rsid w:val="00A3622D"/>
    <w:rsid w:val="00A36A67"/>
    <w:rsid w:val="00A36FEA"/>
    <w:rsid w:val="00A40DD5"/>
    <w:rsid w:val="00A42361"/>
    <w:rsid w:val="00A46653"/>
    <w:rsid w:val="00A50B20"/>
    <w:rsid w:val="00A50DFD"/>
    <w:rsid w:val="00A51390"/>
    <w:rsid w:val="00A52560"/>
    <w:rsid w:val="00A56F4A"/>
    <w:rsid w:val="00A60D13"/>
    <w:rsid w:val="00A65707"/>
    <w:rsid w:val="00A7223D"/>
    <w:rsid w:val="00A72745"/>
    <w:rsid w:val="00A72A80"/>
    <w:rsid w:val="00A76170"/>
    <w:rsid w:val="00A76EFC"/>
    <w:rsid w:val="00A772A6"/>
    <w:rsid w:val="00A77847"/>
    <w:rsid w:val="00A80221"/>
    <w:rsid w:val="00A87D50"/>
    <w:rsid w:val="00A91010"/>
    <w:rsid w:val="00A97F29"/>
    <w:rsid w:val="00AA662A"/>
    <w:rsid w:val="00AA702E"/>
    <w:rsid w:val="00AA7D26"/>
    <w:rsid w:val="00AB0964"/>
    <w:rsid w:val="00AB5011"/>
    <w:rsid w:val="00AC28EB"/>
    <w:rsid w:val="00AC2FB6"/>
    <w:rsid w:val="00AC7368"/>
    <w:rsid w:val="00AD08D2"/>
    <w:rsid w:val="00AD16B9"/>
    <w:rsid w:val="00AD32D9"/>
    <w:rsid w:val="00AE12AC"/>
    <w:rsid w:val="00AE2744"/>
    <w:rsid w:val="00AE377D"/>
    <w:rsid w:val="00AF0EBA"/>
    <w:rsid w:val="00B02C8A"/>
    <w:rsid w:val="00B067EC"/>
    <w:rsid w:val="00B17FBD"/>
    <w:rsid w:val="00B202E6"/>
    <w:rsid w:val="00B20C0C"/>
    <w:rsid w:val="00B24144"/>
    <w:rsid w:val="00B315A6"/>
    <w:rsid w:val="00B31813"/>
    <w:rsid w:val="00B32804"/>
    <w:rsid w:val="00B3327D"/>
    <w:rsid w:val="00B33365"/>
    <w:rsid w:val="00B401F1"/>
    <w:rsid w:val="00B57B36"/>
    <w:rsid w:val="00B57E6F"/>
    <w:rsid w:val="00B8686D"/>
    <w:rsid w:val="00B86ADE"/>
    <w:rsid w:val="00B92B1F"/>
    <w:rsid w:val="00B93F69"/>
    <w:rsid w:val="00B95B40"/>
    <w:rsid w:val="00BB1DDC"/>
    <w:rsid w:val="00BB1F48"/>
    <w:rsid w:val="00BC1592"/>
    <w:rsid w:val="00BC30C9"/>
    <w:rsid w:val="00BC7432"/>
    <w:rsid w:val="00BD077D"/>
    <w:rsid w:val="00BD3E53"/>
    <w:rsid w:val="00BD7275"/>
    <w:rsid w:val="00BE3E58"/>
    <w:rsid w:val="00BE5413"/>
    <w:rsid w:val="00BF75A5"/>
    <w:rsid w:val="00C01616"/>
    <w:rsid w:val="00C0162B"/>
    <w:rsid w:val="00C01B70"/>
    <w:rsid w:val="00C03692"/>
    <w:rsid w:val="00C068ED"/>
    <w:rsid w:val="00C11569"/>
    <w:rsid w:val="00C1267D"/>
    <w:rsid w:val="00C16BEF"/>
    <w:rsid w:val="00C20463"/>
    <w:rsid w:val="00C21098"/>
    <w:rsid w:val="00C22E0C"/>
    <w:rsid w:val="00C239B1"/>
    <w:rsid w:val="00C242A0"/>
    <w:rsid w:val="00C345B1"/>
    <w:rsid w:val="00C40142"/>
    <w:rsid w:val="00C413FC"/>
    <w:rsid w:val="00C43090"/>
    <w:rsid w:val="00C43764"/>
    <w:rsid w:val="00C459AE"/>
    <w:rsid w:val="00C502BD"/>
    <w:rsid w:val="00C51A4C"/>
    <w:rsid w:val="00C527FA"/>
    <w:rsid w:val="00C52C3C"/>
    <w:rsid w:val="00C5448F"/>
    <w:rsid w:val="00C57182"/>
    <w:rsid w:val="00C57863"/>
    <w:rsid w:val="00C640AF"/>
    <w:rsid w:val="00C655FD"/>
    <w:rsid w:val="00C75407"/>
    <w:rsid w:val="00C83027"/>
    <w:rsid w:val="00C841C6"/>
    <w:rsid w:val="00C870A8"/>
    <w:rsid w:val="00C94434"/>
    <w:rsid w:val="00C96771"/>
    <w:rsid w:val="00C96A4E"/>
    <w:rsid w:val="00CA0D75"/>
    <w:rsid w:val="00CA1C95"/>
    <w:rsid w:val="00CA5A9C"/>
    <w:rsid w:val="00CA7412"/>
    <w:rsid w:val="00CC46BD"/>
    <w:rsid w:val="00CC4C20"/>
    <w:rsid w:val="00CD3517"/>
    <w:rsid w:val="00CD5FE2"/>
    <w:rsid w:val="00CD67D0"/>
    <w:rsid w:val="00CE59C9"/>
    <w:rsid w:val="00CE7C68"/>
    <w:rsid w:val="00D02B4C"/>
    <w:rsid w:val="00D040C4"/>
    <w:rsid w:val="00D1406D"/>
    <w:rsid w:val="00D143B0"/>
    <w:rsid w:val="00D17674"/>
    <w:rsid w:val="00D20AD1"/>
    <w:rsid w:val="00D24CF0"/>
    <w:rsid w:val="00D2582C"/>
    <w:rsid w:val="00D27A0D"/>
    <w:rsid w:val="00D27FCD"/>
    <w:rsid w:val="00D31467"/>
    <w:rsid w:val="00D34D94"/>
    <w:rsid w:val="00D3659D"/>
    <w:rsid w:val="00D43AF4"/>
    <w:rsid w:val="00D44A2C"/>
    <w:rsid w:val="00D46B7E"/>
    <w:rsid w:val="00D46BC6"/>
    <w:rsid w:val="00D56B7B"/>
    <w:rsid w:val="00D57C84"/>
    <w:rsid w:val="00D6057D"/>
    <w:rsid w:val="00D636DF"/>
    <w:rsid w:val="00D66695"/>
    <w:rsid w:val="00D66D76"/>
    <w:rsid w:val="00D71640"/>
    <w:rsid w:val="00D74739"/>
    <w:rsid w:val="00D74A0D"/>
    <w:rsid w:val="00D77F2D"/>
    <w:rsid w:val="00D836C5"/>
    <w:rsid w:val="00D837E9"/>
    <w:rsid w:val="00D84576"/>
    <w:rsid w:val="00D869F7"/>
    <w:rsid w:val="00D90D06"/>
    <w:rsid w:val="00D918C8"/>
    <w:rsid w:val="00DA1399"/>
    <w:rsid w:val="00DA24C6"/>
    <w:rsid w:val="00DA3F3E"/>
    <w:rsid w:val="00DA4D7B"/>
    <w:rsid w:val="00DB1444"/>
    <w:rsid w:val="00DB27DF"/>
    <w:rsid w:val="00DB4B01"/>
    <w:rsid w:val="00DB7F77"/>
    <w:rsid w:val="00DD271C"/>
    <w:rsid w:val="00DE264A"/>
    <w:rsid w:val="00DE2E65"/>
    <w:rsid w:val="00DE6C9D"/>
    <w:rsid w:val="00DF1995"/>
    <w:rsid w:val="00DF5072"/>
    <w:rsid w:val="00DF517E"/>
    <w:rsid w:val="00DF747B"/>
    <w:rsid w:val="00E01A5F"/>
    <w:rsid w:val="00E027AD"/>
    <w:rsid w:val="00E02D18"/>
    <w:rsid w:val="00E041E7"/>
    <w:rsid w:val="00E045F3"/>
    <w:rsid w:val="00E11CB5"/>
    <w:rsid w:val="00E23C39"/>
    <w:rsid w:val="00E23CA1"/>
    <w:rsid w:val="00E2705E"/>
    <w:rsid w:val="00E321C2"/>
    <w:rsid w:val="00E323F3"/>
    <w:rsid w:val="00E409A8"/>
    <w:rsid w:val="00E45B48"/>
    <w:rsid w:val="00E50C12"/>
    <w:rsid w:val="00E6560C"/>
    <w:rsid w:val="00E65B91"/>
    <w:rsid w:val="00E6683A"/>
    <w:rsid w:val="00E7209D"/>
    <w:rsid w:val="00E72EAD"/>
    <w:rsid w:val="00E7635C"/>
    <w:rsid w:val="00E76AB1"/>
    <w:rsid w:val="00E77223"/>
    <w:rsid w:val="00E7735B"/>
    <w:rsid w:val="00E82B93"/>
    <w:rsid w:val="00E8528B"/>
    <w:rsid w:val="00E85B94"/>
    <w:rsid w:val="00E87637"/>
    <w:rsid w:val="00E87F2D"/>
    <w:rsid w:val="00E92113"/>
    <w:rsid w:val="00E978D0"/>
    <w:rsid w:val="00EA2704"/>
    <w:rsid w:val="00EA4613"/>
    <w:rsid w:val="00EA6A6F"/>
    <w:rsid w:val="00EA7BE5"/>
    <w:rsid w:val="00EA7F91"/>
    <w:rsid w:val="00EB07FD"/>
    <w:rsid w:val="00EB1523"/>
    <w:rsid w:val="00EB7933"/>
    <w:rsid w:val="00EC0E49"/>
    <w:rsid w:val="00EC101F"/>
    <w:rsid w:val="00EC1D9F"/>
    <w:rsid w:val="00EC30F6"/>
    <w:rsid w:val="00EC72BE"/>
    <w:rsid w:val="00ED0E16"/>
    <w:rsid w:val="00ED5F0E"/>
    <w:rsid w:val="00EE0131"/>
    <w:rsid w:val="00EE137C"/>
    <w:rsid w:val="00EE17B0"/>
    <w:rsid w:val="00EE6FD4"/>
    <w:rsid w:val="00EF06D9"/>
    <w:rsid w:val="00F00615"/>
    <w:rsid w:val="00F0410B"/>
    <w:rsid w:val="00F05711"/>
    <w:rsid w:val="00F17840"/>
    <w:rsid w:val="00F20AF8"/>
    <w:rsid w:val="00F23CE1"/>
    <w:rsid w:val="00F262C7"/>
    <w:rsid w:val="00F3049E"/>
    <w:rsid w:val="00F30C64"/>
    <w:rsid w:val="00F32BA2"/>
    <w:rsid w:val="00F32CDB"/>
    <w:rsid w:val="00F34AB9"/>
    <w:rsid w:val="00F4320B"/>
    <w:rsid w:val="00F4447D"/>
    <w:rsid w:val="00F4609D"/>
    <w:rsid w:val="00F565FE"/>
    <w:rsid w:val="00F57814"/>
    <w:rsid w:val="00F62315"/>
    <w:rsid w:val="00F63A70"/>
    <w:rsid w:val="00F63D8C"/>
    <w:rsid w:val="00F658F6"/>
    <w:rsid w:val="00F67CFA"/>
    <w:rsid w:val="00F7534E"/>
    <w:rsid w:val="00F76CD5"/>
    <w:rsid w:val="00F76DDC"/>
    <w:rsid w:val="00F824E2"/>
    <w:rsid w:val="00F82C14"/>
    <w:rsid w:val="00F8386F"/>
    <w:rsid w:val="00F84D03"/>
    <w:rsid w:val="00F853FD"/>
    <w:rsid w:val="00F9007A"/>
    <w:rsid w:val="00F90459"/>
    <w:rsid w:val="00F93EDF"/>
    <w:rsid w:val="00F94144"/>
    <w:rsid w:val="00FA1802"/>
    <w:rsid w:val="00FA21D0"/>
    <w:rsid w:val="00FA5F5F"/>
    <w:rsid w:val="00FB4902"/>
    <w:rsid w:val="00FB730C"/>
    <w:rsid w:val="00FC2695"/>
    <w:rsid w:val="00FC32C4"/>
    <w:rsid w:val="00FC3E03"/>
    <w:rsid w:val="00FC3FC1"/>
    <w:rsid w:val="00FC5509"/>
    <w:rsid w:val="00FC5A3C"/>
    <w:rsid w:val="00FE4D04"/>
    <w:rsid w:val="00FF0046"/>
    <w:rsid w:val="00FF2D66"/>
    <w:rsid w:val="00FF2F4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link w:val="CETHeading1Car"/>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6382A"/>
    <w:pPr>
      <w:keepNext/>
      <w:suppressAutoHyphens/>
      <w:spacing w:before="120" w:after="120" w:line="240" w:lineRule="auto"/>
      <w:jc w:val="both"/>
    </w:pPr>
    <w:rPr>
      <w:rFonts w:ascii="Arial" w:eastAsia="Times New Roman" w:hAnsi="Arial" w:cs="Times New Roman"/>
      <w:b/>
      <w:sz w:val="18"/>
      <w:szCs w:val="16"/>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6382A"/>
    <w:rPr>
      <w:rFonts w:ascii="Arial" w:eastAsia="Times New Roman" w:hAnsi="Arial" w:cs="Times New Roman"/>
      <w:b/>
      <w:sz w:val="18"/>
      <w:szCs w:val="16"/>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customStyle="1" w:styleId="Mencinsinresolver1">
    <w:name w:val="Mención sin resolver1"/>
    <w:basedOn w:val="Fuentedeprrafopredeter"/>
    <w:uiPriority w:val="99"/>
    <w:semiHidden/>
    <w:unhideWhenUsed/>
    <w:rsid w:val="00247D58"/>
    <w:rPr>
      <w:color w:val="605E5C"/>
      <w:shd w:val="clear" w:color="auto" w:fill="E1DFDD"/>
    </w:rPr>
  </w:style>
  <w:style w:type="paragraph" w:customStyle="1" w:styleId="Estilo1">
    <w:name w:val="Estilo1"/>
    <w:basedOn w:val="CETHeading1"/>
    <w:link w:val="Estilo1Car"/>
    <w:autoRedefine/>
    <w:qFormat/>
    <w:rsid w:val="0006382A"/>
    <w:rPr>
      <w:sz w:val="18"/>
    </w:rPr>
  </w:style>
  <w:style w:type="character" w:customStyle="1" w:styleId="CETHeading1Car">
    <w:name w:val="CET Heading1 Car"/>
    <w:basedOn w:val="Fuentedeprrafopredeter"/>
    <w:link w:val="CETHeading1"/>
    <w:rsid w:val="0006382A"/>
    <w:rPr>
      <w:rFonts w:ascii="Arial" w:eastAsia="Times New Roman" w:hAnsi="Arial" w:cs="Times New Roman"/>
      <w:b/>
      <w:sz w:val="20"/>
      <w:szCs w:val="20"/>
      <w:lang w:val="en-US"/>
    </w:rPr>
  </w:style>
  <w:style w:type="character" w:customStyle="1" w:styleId="Estilo1Car">
    <w:name w:val="Estilo1 Car"/>
    <w:basedOn w:val="CETHeading1Car"/>
    <w:link w:val="Estilo1"/>
    <w:rsid w:val="0006382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886175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hyperlink" Target="mailto:nrojasa@ipn.m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7AA222-AC02-4703-85F7-96644B8A05B0}">
  <we:reference id="wa104382081" version="1.46.0.0" store="es-ES" storeType="OMEX"/>
  <we:alternateReferences>
    <we:reference id="WA104382081" version="1.46.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A436-5ECA-4645-AC01-74C876AA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19312</Words>
  <Characters>106218</Characters>
  <Application>Microsoft Office Word</Application>
  <DocSecurity>0</DocSecurity>
  <Lines>885</Lines>
  <Paragraphs>250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José Daniel Aguilar Loa</cp:lastModifiedBy>
  <cp:revision>3</cp:revision>
  <cp:lastPrinted>2015-05-12T18:31:00Z</cp:lastPrinted>
  <dcterms:created xsi:type="dcterms:W3CDTF">2024-03-01T22:50:00Z</dcterms:created>
  <dcterms:modified xsi:type="dcterms:W3CDTF">2024-03-01T23:15:00Z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http://www.zotero.org/styles/applied-biochemistry-and-biotechnology</vt:lpwstr>
  </property>
  <property fmtid="{D5CDD505-2E9C-101B-9397-08002B2CF9AE}" pid="5" name="Mendeley Recent Style Name 0_1">
    <vt:lpwstr>Applied Biochemistry and Biotechnology</vt:lpwstr>
  </property>
  <property fmtid="{D5CDD505-2E9C-101B-9397-08002B2CF9AE}" pid="6" name="Mendeley Recent Style Id 1_1">
    <vt:lpwstr>http://www.zotero.org/styles/applied-microbiology-and-biotechnology</vt:lpwstr>
  </property>
  <property fmtid="{D5CDD505-2E9C-101B-9397-08002B2CF9AE}" pid="7" name="Mendeley Recent Style Name 1_1">
    <vt:lpwstr>Applied Microbiology and Biotechnology</vt:lpwstr>
  </property>
  <property fmtid="{D5CDD505-2E9C-101B-9397-08002B2CF9AE}" pid="8" name="Mendeley Recent Style Id 2_1">
    <vt:lpwstr>http://www.zotero.org/styles/biotechnology-letters</vt:lpwstr>
  </property>
  <property fmtid="{D5CDD505-2E9C-101B-9397-08002B2CF9AE}" pid="9" name="Mendeley Recent Style Name 2_1">
    <vt:lpwstr>Biotechnology Letters</vt:lpwstr>
  </property>
  <property fmtid="{D5CDD505-2E9C-101B-9397-08002B2CF9AE}" pid="10" name="Mendeley Recent Style Id 3_1">
    <vt:lpwstr>http://www.zotero.org/styles/elsevier-harvard</vt:lpwstr>
  </property>
  <property fmtid="{D5CDD505-2E9C-101B-9397-08002B2CF9AE}" pid="11" name="Mendeley Recent Style Name 3_1">
    <vt:lpwstr>Elsevier - Harvard (with titles)</vt:lpwstr>
  </property>
  <property fmtid="{D5CDD505-2E9C-101B-9397-08002B2CF9AE}" pid="12" name="Mendeley Recent Style Id 4_1">
    <vt:lpwstr>http://www.zotero.org/styles/journal-of-microbiological-methods</vt:lpwstr>
  </property>
  <property fmtid="{D5CDD505-2E9C-101B-9397-08002B2CF9AE}" pid="13" name="Mendeley Recent Style Name 4_1">
    <vt:lpwstr>Journal of Microbiological Methods</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http://www.zotero.org/styles/proceedings-of-the-national-academy-of-sciences-india-section-b-biological-sciences</vt:lpwstr>
  </property>
  <property fmtid="{D5CDD505-2E9C-101B-9397-08002B2CF9AE}" pid="17" name="Mendeley Recent Style Name 6_1">
    <vt:lpwstr>Proceedings of the National Academy of Sciences, India Section B: Biological Sciences</vt:lpwstr>
  </property>
  <property fmtid="{D5CDD505-2E9C-101B-9397-08002B2CF9AE}" pid="18" name="Mendeley Recent Style Id 7_1">
    <vt:lpwstr>http://www.zotero.org/styles/springer-basic-brackets</vt:lpwstr>
  </property>
  <property fmtid="{D5CDD505-2E9C-101B-9397-08002B2CF9AE}" pid="19" name="Mendeley Recent Style Name 7_1">
    <vt:lpwstr>Springer - Basic (numeric, brackets)</vt:lpwstr>
  </property>
  <property fmtid="{D5CDD505-2E9C-101B-9397-08002B2CF9AE}" pid="20" name="Mendeley Recent Style Id 8_1">
    <vt:lpwstr>http://www.zotero.org/styles/unified-style-sheet-for-linguistics-de-gruyter-literature</vt:lpwstr>
  </property>
  <property fmtid="{D5CDD505-2E9C-101B-9397-08002B2CF9AE}" pid="21" name="Mendeley Recent Style Name 8_1">
    <vt:lpwstr>Unified Stylesheet for Linguistics (de Gruyter Literature)</vt:lpwstr>
  </property>
  <property fmtid="{D5CDD505-2E9C-101B-9397-08002B2CF9AE}" pid="22" name="Mendeley Recent Style Id 9_1">
    <vt:lpwstr>http://www.zotero.org/styles/university-of-york-ieee</vt:lpwstr>
  </property>
  <property fmtid="{D5CDD505-2E9C-101B-9397-08002B2CF9AE}" pid="23" name="Mendeley Recent Style Name 9_1">
    <vt:lpwstr>University of York - IEEE</vt:lpwstr>
  </property>
  <property fmtid="{D5CDD505-2E9C-101B-9397-08002B2CF9AE}" pid="24" name="Mendeley Document_1">
    <vt:lpwstr>True</vt:lpwstr>
  </property>
  <property fmtid="{D5CDD505-2E9C-101B-9397-08002B2CF9AE}" pid="25" name="Mendeley Unique User Id_1">
    <vt:lpwstr>2c5ad99b-544e-322a-b15a-efd5ff353d16</vt:lpwstr>
  </property>
  <property fmtid="{D5CDD505-2E9C-101B-9397-08002B2CF9AE}" pid="26" name="Mendeley Citation Style_1">
    <vt:lpwstr>http://www.zotero.org/styles/elsevier-harvard</vt:lpwstr>
  </property>
</Properties>
</file>